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9.xml" ContentType="application/vnd.openxmlformats-officedocument.drawingml.chart+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74663" w14:textId="77777777" w:rsidR="00F32FA7" w:rsidRPr="000C6E07" w:rsidRDefault="00F32FA7" w:rsidP="00393581">
      <w:pPr>
        <w:pStyle w:val="Default"/>
        <w:ind w:firstLine="9356"/>
      </w:pPr>
      <w:r w:rsidRPr="000C6E07">
        <w:t>Aprobat</w:t>
      </w:r>
    </w:p>
    <w:p w14:paraId="5F344151" w14:textId="77777777" w:rsidR="00F32FA7" w:rsidRPr="000C6E07" w:rsidRDefault="00F32FA7" w:rsidP="00F32FA7">
      <w:pPr>
        <w:autoSpaceDE w:val="0"/>
        <w:autoSpaceDN w:val="0"/>
        <w:adjustRightInd w:val="0"/>
        <w:spacing w:after="0"/>
        <w:ind w:firstLine="540"/>
        <w:jc w:val="right"/>
        <w:rPr>
          <w:rFonts w:eastAsia="DengXian"/>
          <w:bCs/>
          <w:sz w:val="24"/>
          <w:szCs w:val="24"/>
          <w:lang w:val="ro-RO" w:eastAsia="zh-CN"/>
        </w:rPr>
      </w:pPr>
      <w:r w:rsidRPr="000C6E07">
        <w:rPr>
          <w:bCs/>
          <w:sz w:val="24"/>
          <w:szCs w:val="24"/>
          <w:lang w:val="ro-RO"/>
        </w:rPr>
        <w:t xml:space="preserve"> prin</w:t>
      </w:r>
      <w:r w:rsidRPr="000C6E07">
        <w:rPr>
          <w:rFonts w:eastAsia="DengXian"/>
          <w:bCs/>
          <w:sz w:val="24"/>
          <w:szCs w:val="24"/>
          <w:lang w:val="ro-RO" w:eastAsia="zh-CN"/>
        </w:rPr>
        <w:t xml:space="preserve"> </w:t>
      </w:r>
      <w:r w:rsidRPr="000C6E07">
        <w:rPr>
          <w:bCs/>
          <w:sz w:val="24"/>
          <w:szCs w:val="24"/>
          <w:lang w:val="ro-RO"/>
        </w:rPr>
        <w:t xml:space="preserve">Hotărârea Guvernului </w:t>
      </w:r>
      <w:r w:rsidRPr="000C6E07">
        <w:rPr>
          <w:rFonts w:eastAsia="DengXian"/>
          <w:bCs/>
          <w:sz w:val="24"/>
          <w:szCs w:val="24"/>
          <w:lang w:val="ro-RO" w:eastAsia="zh-CN"/>
        </w:rPr>
        <w:t xml:space="preserve"> </w:t>
      </w:r>
      <w:r w:rsidRPr="000C6E07">
        <w:rPr>
          <w:bCs/>
          <w:sz w:val="24"/>
          <w:szCs w:val="24"/>
          <w:lang w:val="ro-RO"/>
        </w:rPr>
        <w:t>_____/2025</w:t>
      </w:r>
    </w:p>
    <w:p w14:paraId="72BABC48" w14:textId="77777777" w:rsidR="00F32FA7" w:rsidRPr="000C6E07" w:rsidRDefault="00F32FA7" w:rsidP="00F32FA7">
      <w:pPr>
        <w:spacing w:after="0"/>
        <w:ind w:firstLine="540"/>
        <w:jc w:val="center"/>
        <w:rPr>
          <w:b/>
          <w:sz w:val="24"/>
          <w:szCs w:val="24"/>
          <w:lang w:val="ro-RO"/>
        </w:rPr>
      </w:pPr>
    </w:p>
    <w:p w14:paraId="00D5F9AA" w14:textId="77777777" w:rsidR="00F32FA7" w:rsidRPr="000C6E07" w:rsidRDefault="00F32FA7" w:rsidP="00F32FA7">
      <w:pPr>
        <w:spacing w:after="0"/>
        <w:ind w:firstLine="540"/>
        <w:rPr>
          <w:b/>
          <w:sz w:val="24"/>
          <w:szCs w:val="24"/>
          <w:lang w:val="ro-RO"/>
        </w:rPr>
      </w:pPr>
    </w:p>
    <w:p w14:paraId="2BD7AAA1" w14:textId="77777777" w:rsidR="00F32FA7" w:rsidRPr="000C6E07" w:rsidRDefault="00F32FA7" w:rsidP="00F32FA7">
      <w:pPr>
        <w:autoSpaceDE w:val="0"/>
        <w:autoSpaceDN w:val="0"/>
        <w:adjustRightInd w:val="0"/>
        <w:spacing w:after="0"/>
        <w:ind w:firstLine="540"/>
        <w:jc w:val="center"/>
        <w:rPr>
          <w:b/>
          <w:sz w:val="24"/>
          <w:szCs w:val="24"/>
          <w:lang w:val="ro-RO"/>
        </w:rPr>
      </w:pPr>
    </w:p>
    <w:p w14:paraId="0BB99AFD" w14:textId="77777777" w:rsidR="00F32FA7" w:rsidRPr="000C6E07" w:rsidRDefault="00F32FA7" w:rsidP="00F32FA7">
      <w:pPr>
        <w:autoSpaceDE w:val="0"/>
        <w:autoSpaceDN w:val="0"/>
        <w:adjustRightInd w:val="0"/>
        <w:spacing w:after="0"/>
        <w:ind w:firstLine="540"/>
        <w:jc w:val="center"/>
        <w:rPr>
          <w:b/>
          <w:sz w:val="24"/>
          <w:szCs w:val="24"/>
          <w:lang w:val="ro-RO"/>
        </w:rPr>
      </w:pPr>
      <w:r w:rsidRPr="000C6E07">
        <w:rPr>
          <w:b/>
          <w:sz w:val="24"/>
          <w:szCs w:val="24"/>
          <w:lang w:val="ro-RO"/>
        </w:rPr>
        <w:t>PROGRAM</w:t>
      </w:r>
    </w:p>
    <w:p w14:paraId="6A7B993D" w14:textId="77777777" w:rsidR="00F32FA7" w:rsidRPr="000C6E07" w:rsidRDefault="00F32FA7" w:rsidP="00F32FA7">
      <w:pPr>
        <w:autoSpaceDE w:val="0"/>
        <w:autoSpaceDN w:val="0"/>
        <w:adjustRightInd w:val="0"/>
        <w:spacing w:after="0"/>
        <w:ind w:firstLine="540"/>
        <w:jc w:val="center"/>
        <w:rPr>
          <w:b/>
          <w:sz w:val="24"/>
          <w:szCs w:val="24"/>
          <w:lang w:val="ro-RO"/>
        </w:rPr>
      </w:pPr>
      <w:r w:rsidRPr="000C6E07">
        <w:rPr>
          <w:b/>
          <w:sz w:val="24"/>
          <w:szCs w:val="24"/>
          <w:lang w:val="ro-RO"/>
        </w:rPr>
        <w:t xml:space="preserve"> național de ordine și securitate publică</w:t>
      </w:r>
    </w:p>
    <w:p w14:paraId="22B299A2" w14:textId="77777777" w:rsidR="00F32FA7" w:rsidRPr="000C6E07" w:rsidRDefault="00F32FA7" w:rsidP="00F32FA7">
      <w:pPr>
        <w:autoSpaceDE w:val="0"/>
        <w:autoSpaceDN w:val="0"/>
        <w:adjustRightInd w:val="0"/>
        <w:spacing w:after="0"/>
        <w:ind w:firstLine="540"/>
        <w:jc w:val="center"/>
        <w:rPr>
          <w:b/>
          <w:sz w:val="24"/>
          <w:szCs w:val="24"/>
          <w:lang w:val="ro-RO"/>
        </w:rPr>
      </w:pPr>
      <w:r w:rsidRPr="000C6E07">
        <w:rPr>
          <w:b/>
          <w:sz w:val="24"/>
          <w:szCs w:val="24"/>
          <w:lang w:val="ro-RO"/>
        </w:rPr>
        <w:t>pentru anii 2026-2030</w:t>
      </w:r>
    </w:p>
    <w:p w14:paraId="38BC9D31" w14:textId="77777777" w:rsidR="00F32FA7" w:rsidRPr="000C6E07" w:rsidRDefault="00F32FA7" w:rsidP="00F32FA7">
      <w:pPr>
        <w:keepNext/>
        <w:keepLines/>
        <w:spacing w:after="0"/>
        <w:ind w:firstLine="540"/>
        <w:jc w:val="center"/>
        <w:outlineLvl w:val="0"/>
        <w:rPr>
          <w:b/>
          <w:bCs/>
          <w:sz w:val="24"/>
          <w:szCs w:val="24"/>
          <w:lang w:val="ro-RO"/>
        </w:rPr>
      </w:pPr>
      <w:bookmarkStart w:id="0" w:name="_Toc110462467"/>
    </w:p>
    <w:p w14:paraId="36E72343" w14:textId="77777777" w:rsidR="00F32FA7" w:rsidRPr="000C6E07" w:rsidRDefault="00F32FA7" w:rsidP="00F32FA7">
      <w:pPr>
        <w:keepNext/>
        <w:keepLines/>
        <w:spacing w:after="0"/>
        <w:ind w:firstLine="540"/>
        <w:jc w:val="center"/>
        <w:outlineLvl w:val="0"/>
        <w:rPr>
          <w:b/>
          <w:bCs/>
          <w:sz w:val="24"/>
          <w:szCs w:val="24"/>
          <w:lang w:val="ro-RO"/>
        </w:rPr>
      </w:pPr>
      <w:r w:rsidRPr="000C6E07">
        <w:rPr>
          <w:b/>
          <w:bCs/>
          <w:sz w:val="24"/>
          <w:szCs w:val="24"/>
          <w:lang w:val="ro-RO"/>
        </w:rPr>
        <w:t>Capitolul I</w:t>
      </w:r>
    </w:p>
    <w:p w14:paraId="5C409F99" w14:textId="03FAC978" w:rsidR="00F32FA7" w:rsidRPr="000C6E07" w:rsidRDefault="00F32FA7" w:rsidP="00F32FA7">
      <w:pPr>
        <w:keepNext/>
        <w:keepLines/>
        <w:spacing w:after="0"/>
        <w:ind w:firstLine="540"/>
        <w:jc w:val="center"/>
        <w:outlineLvl w:val="0"/>
        <w:rPr>
          <w:b/>
          <w:bCs/>
          <w:sz w:val="24"/>
          <w:szCs w:val="24"/>
          <w:lang w:val="ro-RO"/>
        </w:rPr>
      </w:pPr>
      <w:r w:rsidRPr="000C6E07">
        <w:rPr>
          <w:b/>
          <w:bCs/>
          <w:sz w:val="24"/>
          <w:szCs w:val="24"/>
          <w:lang w:val="ro-RO"/>
        </w:rPr>
        <w:t>INTRODUCERE</w:t>
      </w:r>
      <w:bookmarkEnd w:id="0"/>
    </w:p>
    <w:p w14:paraId="36379DC1" w14:textId="77777777" w:rsidR="00F32FA7" w:rsidRPr="000C6E07" w:rsidRDefault="00F32FA7" w:rsidP="00F32FA7">
      <w:pPr>
        <w:tabs>
          <w:tab w:val="left" w:pos="851"/>
        </w:tabs>
        <w:spacing w:after="0"/>
        <w:ind w:firstLine="540"/>
        <w:jc w:val="both"/>
        <w:rPr>
          <w:sz w:val="24"/>
          <w:szCs w:val="24"/>
          <w:lang w:val="ro-RO"/>
        </w:rPr>
      </w:pPr>
    </w:p>
    <w:p w14:paraId="6E2CAF76"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Programul național de ordine și securitate publică pentru anii 2026–2030 (în continuare – Programul) reprezintă documentul de politici publice prin care se consolidează direcțiile strategice ale statului în domeniul ordinii și securității publice, având ca scop general consolidarea climatului de securitate și încredere în rândul populației, printr-o guvernanță eficientă, </w:t>
      </w:r>
      <w:proofErr w:type="spellStart"/>
      <w:r w:rsidRPr="000C6E07">
        <w:rPr>
          <w:sz w:val="24"/>
          <w:szCs w:val="24"/>
          <w:lang w:val="ro-RO"/>
        </w:rPr>
        <w:t>proactivă</w:t>
      </w:r>
      <w:proofErr w:type="spellEnd"/>
      <w:r w:rsidRPr="000C6E07">
        <w:rPr>
          <w:sz w:val="24"/>
          <w:szCs w:val="24"/>
          <w:lang w:val="ro-RO"/>
        </w:rPr>
        <w:t xml:space="preserve"> și orientată spre respectarea drepturilor omului.</w:t>
      </w:r>
    </w:p>
    <w:p w14:paraId="43542406"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este elaborat în conformitate cu prevederile Hotărârii Guvernului nr. 386/2020 cu privire la planificarea strategică, având ca temei Strategia de dezvoltare a domeniului afacerilor interne pentru anii 2022–2030 (SDDAI), precum și lecțiile învățate din implementarea Programului de ordine și securitate publică pentru anii 2022–2025, evaluate prin exerciții independente de monitorizare și analiză intermediară.</w:t>
      </w:r>
    </w:p>
    <w:p w14:paraId="0DF6D239"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Prezentul Program răspunde necesității de adaptare a politicilor de ordine publică la noile provocări de securitate cu care se confruntă Republica Moldova, inclusiv:</w:t>
      </w:r>
    </w:p>
    <w:p w14:paraId="50EB9897" w14:textId="77777777" w:rsidR="00F32FA7" w:rsidRPr="000C6E07" w:rsidRDefault="00F32FA7" w:rsidP="00F32FA7">
      <w:pPr>
        <w:numPr>
          <w:ilvl w:val="0"/>
          <w:numId w:val="13"/>
        </w:numPr>
        <w:tabs>
          <w:tab w:val="left" w:pos="851"/>
        </w:tabs>
        <w:spacing w:after="0"/>
        <w:ind w:left="0" w:firstLine="567"/>
        <w:jc w:val="both"/>
        <w:rPr>
          <w:sz w:val="24"/>
          <w:szCs w:val="24"/>
          <w:lang w:val="ro-RO"/>
        </w:rPr>
      </w:pPr>
      <w:r w:rsidRPr="000C6E07">
        <w:rPr>
          <w:sz w:val="24"/>
          <w:szCs w:val="24"/>
          <w:lang w:val="ro-RO"/>
        </w:rPr>
        <w:t>nivelul persistent scăzut al percepției de siguranță în rândul populației;</w:t>
      </w:r>
    </w:p>
    <w:p w14:paraId="7949C86C" w14:textId="77777777" w:rsidR="00F32FA7" w:rsidRPr="000C6E07" w:rsidRDefault="00F32FA7" w:rsidP="00F32FA7">
      <w:pPr>
        <w:numPr>
          <w:ilvl w:val="0"/>
          <w:numId w:val="13"/>
        </w:numPr>
        <w:tabs>
          <w:tab w:val="left" w:pos="851"/>
        </w:tabs>
        <w:spacing w:after="0"/>
        <w:ind w:left="0" w:firstLine="567"/>
        <w:jc w:val="both"/>
        <w:rPr>
          <w:sz w:val="24"/>
          <w:szCs w:val="24"/>
          <w:lang w:val="ro-RO"/>
        </w:rPr>
      </w:pPr>
      <w:r w:rsidRPr="000C6E07">
        <w:rPr>
          <w:sz w:val="24"/>
          <w:szCs w:val="24"/>
          <w:lang w:val="ro-RO"/>
        </w:rPr>
        <w:t>capacitatea limitată de intervenție și reacție, în special în zonele rurale;</w:t>
      </w:r>
    </w:p>
    <w:p w14:paraId="1E9AC2D5" w14:textId="77777777" w:rsidR="00F32FA7" w:rsidRPr="000C6E07" w:rsidRDefault="00F32FA7" w:rsidP="00F32FA7">
      <w:pPr>
        <w:numPr>
          <w:ilvl w:val="0"/>
          <w:numId w:val="13"/>
        </w:numPr>
        <w:tabs>
          <w:tab w:val="left" w:pos="851"/>
        </w:tabs>
        <w:spacing w:after="0"/>
        <w:ind w:left="0" w:firstLine="567"/>
        <w:jc w:val="both"/>
        <w:rPr>
          <w:sz w:val="24"/>
          <w:szCs w:val="24"/>
          <w:lang w:val="ro-RO"/>
        </w:rPr>
      </w:pPr>
      <w:r w:rsidRPr="000C6E07">
        <w:rPr>
          <w:sz w:val="24"/>
          <w:szCs w:val="24"/>
          <w:lang w:val="ro-RO"/>
        </w:rPr>
        <w:t>necesitatea respectării efective a drepturilor fundamentale în toate etapele intervenției structurilor de ordine și securitate publică;</w:t>
      </w:r>
    </w:p>
    <w:p w14:paraId="323138ED" w14:textId="77777777" w:rsidR="00F32FA7" w:rsidRPr="000C6E07" w:rsidRDefault="00F32FA7" w:rsidP="00F32FA7">
      <w:pPr>
        <w:numPr>
          <w:ilvl w:val="0"/>
          <w:numId w:val="13"/>
        </w:numPr>
        <w:tabs>
          <w:tab w:val="left" w:pos="851"/>
        </w:tabs>
        <w:spacing w:after="0"/>
        <w:ind w:left="0" w:firstLine="567"/>
        <w:jc w:val="both"/>
        <w:rPr>
          <w:sz w:val="24"/>
          <w:szCs w:val="24"/>
          <w:lang w:val="ro-RO"/>
        </w:rPr>
      </w:pPr>
      <w:r w:rsidRPr="000C6E07">
        <w:rPr>
          <w:sz w:val="24"/>
          <w:szCs w:val="24"/>
          <w:lang w:val="ro-RO"/>
        </w:rPr>
        <w:t>manifestarea riscurilor de natură hibridă, precum dezinformarea, instabilitatea regională și atacurile cibernetice;</w:t>
      </w:r>
    </w:p>
    <w:p w14:paraId="2561A3E2" w14:textId="77777777" w:rsidR="00F32FA7" w:rsidRPr="000C6E07" w:rsidRDefault="00F32FA7" w:rsidP="00F32FA7">
      <w:pPr>
        <w:numPr>
          <w:ilvl w:val="0"/>
          <w:numId w:val="13"/>
        </w:numPr>
        <w:tabs>
          <w:tab w:val="left" w:pos="851"/>
        </w:tabs>
        <w:spacing w:after="0"/>
        <w:ind w:left="0" w:firstLine="567"/>
        <w:jc w:val="both"/>
        <w:rPr>
          <w:sz w:val="24"/>
          <w:szCs w:val="24"/>
          <w:lang w:val="ro-RO"/>
        </w:rPr>
      </w:pPr>
      <w:r w:rsidRPr="000C6E07">
        <w:rPr>
          <w:sz w:val="24"/>
          <w:szCs w:val="24"/>
          <w:lang w:val="ro-RO"/>
        </w:rPr>
        <w:t>presiuni sporite asupra structurilor de ordine în contextul gestionării situațiilor de criză.</w:t>
      </w:r>
    </w:p>
    <w:p w14:paraId="78682D0B" w14:textId="628C70D6" w:rsidR="002417D9" w:rsidRPr="002417D9" w:rsidRDefault="00F32FA7" w:rsidP="002417D9">
      <w:pPr>
        <w:tabs>
          <w:tab w:val="left" w:pos="851"/>
        </w:tabs>
        <w:spacing w:after="0"/>
        <w:ind w:firstLine="567"/>
        <w:jc w:val="both"/>
        <w:rPr>
          <w:sz w:val="24"/>
          <w:szCs w:val="24"/>
          <w:lang w:val="ro-RO"/>
        </w:rPr>
      </w:pPr>
      <w:r w:rsidRPr="000C6E07">
        <w:rPr>
          <w:sz w:val="24"/>
          <w:szCs w:val="24"/>
          <w:lang w:val="ro-RO"/>
        </w:rPr>
        <w:t xml:space="preserve">Programul va fi implementat pe parcursul unei perioade de cinci ani (2026–2030), printr-un plan de acțiuni etapizat, cu obiective clare, indicatori de performanță cuantificabili și măsuri </w:t>
      </w:r>
      <w:r w:rsidRPr="00B63119">
        <w:rPr>
          <w:sz w:val="24"/>
          <w:szCs w:val="24"/>
          <w:lang w:val="ro-RO"/>
        </w:rPr>
        <w:t xml:space="preserve">de </w:t>
      </w:r>
      <w:r w:rsidR="002417D9" w:rsidRPr="00B63119">
        <w:rPr>
          <w:sz w:val="24"/>
          <w:szCs w:val="24"/>
          <w:lang w:val="ro-RO"/>
        </w:rPr>
        <w:t xml:space="preserve">monitorizare </w:t>
      </w:r>
      <w:r w:rsidRPr="00B63119">
        <w:rPr>
          <w:sz w:val="24"/>
          <w:szCs w:val="24"/>
          <w:lang w:val="ro-RO"/>
        </w:rPr>
        <w:t>continuă. Accentul este pus pe eficiență operațională, digitalizare, interacțiune cu comunitatea și partajarea</w:t>
      </w:r>
      <w:r w:rsidRPr="000C6E07">
        <w:rPr>
          <w:sz w:val="24"/>
          <w:szCs w:val="24"/>
          <w:lang w:val="ro-RO"/>
        </w:rPr>
        <w:t xml:space="preserve"> responsabilităților între autoritățile și instituțiile publice cu competențe pe domeniu.</w:t>
      </w:r>
    </w:p>
    <w:p w14:paraId="70A4E6A9" w14:textId="4450348B" w:rsidR="00F32FA7" w:rsidRPr="000C6E07" w:rsidRDefault="002417D9" w:rsidP="002417D9">
      <w:pPr>
        <w:tabs>
          <w:tab w:val="left" w:pos="851"/>
        </w:tabs>
        <w:spacing w:after="0"/>
        <w:ind w:firstLine="567"/>
        <w:jc w:val="both"/>
        <w:rPr>
          <w:sz w:val="24"/>
          <w:szCs w:val="24"/>
          <w:lang w:val="ro-RO"/>
        </w:rPr>
      </w:pPr>
      <w:r w:rsidRPr="002417D9">
        <w:rPr>
          <w:sz w:val="24"/>
          <w:szCs w:val="24"/>
          <w:lang w:val="ro-RO"/>
        </w:rPr>
        <w:t xml:space="preserve"> </w:t>
      </w:r>
      <w:r w:rsidRPr="00B63119">
        <w:rPr>
          <w:sz w:val="24"/>
          <w:szCs w:val="24"/>
          <w:lang w:val="ro-RO"/>
        </w:rPr>
        <w:t>Programul contribuie în mod direct la implementarea obiectivelor Strategiei de dezvoltare a domeniului afacerilor interne pentru anii 2022-2030 și corelează cu</w:t>
      </w:r>
      <w:r w:rsidR="00F32FA7" w:rsidRPr="00B63119">
        <w:rPr>
          <w:sz w:val="24"/>
          <w:szCs w:val="24"/>
          <w:lang w:val="ro-RO"/>
        </w:rPr>
        <w:t xml:space="preserve"> Strategia</w:t>
      </w:r>
      <w:r w:rsidR="00F32FA7" w:rsidRPr="000C6E07">
        <w:rPr>
          <w:sz w:val="24"/>
          <w:szCs w:val="24"/>
          <w:lang w:val="ro-RO"/>
        </w:rPr>
        <w:t xml:space="preserve"> națională de dezvoltare „Moldova Europeană 2030”, Agenda 2030 pentru Dezvoltare Durabilă, precum și Acordul de Asociere RM–UE. Această aliniere conferă programului legitimitate, coerență și direcție strategică, asigurând integrarea politicilor de ordine publică într-un cadru larg de dezvoltare durabilă, siguranță și drepturi fundamentale.</w:t>
      </w:r>
    </w:p>
    <w:p w14:paraId="0131C86D" w14:textId="77777777" w:rsidR="00F32FA7" w:rsidRPr="000C6E07" w:rsidRDefault="00F32FA7" w:rsidP="00F32FA7">
      <w:pPr>
        <w:tabs>
          <w:tab w:val="left" w:pos="851"/>
        </w:tabs>
        <w:spacing w:after="0"/>
        <w:ind w:firstLine="567"/>
        <w:jc w:val="both"/>
        <w:rPr>
          <w:b/>
          <w:bCs/>
          <w:sz w:val="24"/>
          <w:szCs w:val="24"/>
          <w:lang w:val="ro-RO"/>
        </w:rPr>
      </w:pPr>
      <w:r w:rsidRPr="000C6E07">
        <w:rPr>
          <w:b/>
          <w:bCs/>
          <w:sz w:val="24"/>
          <w:szCs w:val="24"/>
          <w:lang w:val="ro-RO"/>
        </w:rPr>
        <w:t>1. Corelarea cu Strategia de dezvoltare a domeniului afacerilor interne 2022–2030 (SDDAI)</w:t>
      </w:r>
    </w:p>
    <w:p w14:paraId="6DE2A7C8"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se fundamentează pe prioritățile definite în SDDAI, asigurând implementarea în practică a direcțiilor strategice din acest document. Domeniile acoperite în Program sunt reflectarea directă a direcțiilor prioritare din SDDAI:</w:t>
      </w:r>
    </w:p>
    <w:p w14:paraId="2B4B879D" w14:textId="77777777" w:rsidR="00F32FA7" w:rsidRPr="000C6E07" w:rsidRDefault="00F32FA7" w:rsidP="00F32FA7">
      <w:pPr>
        <w:pStyle w:val="af9"/>
        <w:numPr>
          <w:ilvl w:val="1"/>
          <w:numId w:val="14"/>
        </w:numPr>
        <w:tabs>
          <w:tab w:val="left" w:pos="851"/>
          <w:tab w:val="left" w:pos="993"/>
        </w:tabs>
        <w:spacing w:after="0"/>
        <w:ind w:left="0" w:firstLine="567"/>
        <w:jc w:val="both"/>
        <w:rPr>
          <w:sz w:val="24"/>
          <w:szCs w:val="24"/>
          <w:lang w:val="ro-RO"/>
        </w:rPr>
      </w:pPr>
      <w:r w:rsidRPr="000C6E07">
        <w:rPr>
          <w:sz w:val="24"/>
          <w:szCs w:val="24"/>
          <w:lang w:val="ro-RO"/>
        </w:rPr>
        <w:t>Consolidarea capacității instituționale și operaționale a structurilor de ordine publică;</w:t>
      </w:r>
    </w:p>
    <w:p w14:paraId="0B9E5CE4" w14:textId="77777777" w:rsidR="00F32FA7" w:rsidRPr="000C6E07" w:rsidRDefault="00F32FA7" w:rsidP="00F32FA7">
      <w:pPr>
        <w:pStyle w:val="af9"/>
        <w:numPr>
          <w:ilvl w:val="1"/>
          <w:numId w:val="14"/>
        </w:numPr>
        <w:tabs>
          <w:tab w:val="left" w:pos="851"/>
          <w:tab w:val="left" w:pos="993"/>
        </w:tabs>
        <w:spacing w:after="0"/>
        <w:ind w:left="0" w:firstLine="567"/>
        <w:jc w:val="both"/>
        <w:rPr>
          <w:sz w:val="24"/>
          <w:szCs w:val="24"/>
          <w:lang w:val="ro-RO"/>
        </w:rPr>
      </w:pPr>
      <w:r w:rsidRPr="000C6E07">
        <w:rPr>
          <w:sz w:val="24"/>
          <w:szCs w:val="24"/>
          <w:lang w:val="ro-RO"/>
        </w:rPr>
        <w:t>Modernizarea structurilor MAI în baza principiului poliției orientate spre comunitate;</w:t>
      </w:r>
    </w:p>
    <w:p w14:paraId="555E5BE9" w14:textId="77777777" w:rsidR="00F32FA7" w:rsidRPr="000C6E07" w:rsidRDefault="00F32FA7" w:rsidP="00F32FA7">
      <w:pPr>
        <w:pStyle w:val="af9"/>
        <w:numPr>
          <w:ilvl w:val="1"/>
          <w:numId w:val="14"/>
        </w:numPr>
        <w:tabs>
          <w:tab w:val="left" w:pos="851"/>
          <w:tab w:val="left" w:pos="993"/>
        </w:tabs>
        <w:spacing w:after="0"/>
        <w:ind w:left="0" w:firstLine="567"/>
        <w:jc w:val="both"/>
        <w:rPr>
          <w:sz w:val="24"/>
          <w:szCs w:val="24"/>
          <w:lang w:val="ro-RO"/>
        </w:rPr>
      </w:pPr>
      <w:r w:rsidRPr="000C6E07">
        <w:rPr>
          <w:sz w:val="24"/>
          <w:szCs w:val="24"/>
          <w:lang w:val="ro-RO"/>
        </w:rPr>
        <w:t>Creșterea accesibilității serviciilor de ordine publică pentru grupurile vulnerabile;</w:t>
      </w:r>
    </w:p>
    <w:p w14:paraId="1FF8E59E" w14:textId="77777777" w:rsidR="00F32FA7" w:rsidRPr="000C6E07" w:rsidRDefault="00F32FA7" w:rsidP="00F32FA7">
      <w:pPr>
        <w:pStyle w:val="af9"/>
        <w:numPr>
          <w:ilvl w:val="1"/>
          <w:numId w:val="14"/>
        </w:numPr>
        <w:tabs>
          <w:tab w:val="left" w:pos="851"/>
          <w:tab w:val="left" w:pos="993"/>
        </w:tabs>
        <w:spacing w:after="0"/>
        <w:ind w:left="0" w:firstLine="567"/>
        <w:jc w:val="both"/>
        <w:rPr>
          <w:sz w:val="24"/>
          <w:szCs w:val="24"/>
          <w:lang w:val="ro-RO"/>
        </w:rPr>
      </w:pPr>
      <w:r w:rsidRPr="000C6E07">
        <w:rPr>
          <w:sz w:val="24"/>
          <w:szCs w:val="24"/>
          <w:lang w:val="ro-RO"/>
        </w:rPr>
        <w:t>Asigurarea respectării drepturilor omului în toate formele de intervenție ale structurilor MAI;</w:t>
      </w:r>
    </w:p>
    <w:p w14:paraId="2A8DAE6C" w14:textId="77777777" w:rsidR="00F32FA7" w:rsidRPr="000C6E07" w:rsidRDefault="00F32FA7" w:rsidP="00F32FA7">
      <w:pPr>
        <w:pStyle w:val="af9"/>
        <w:numPr>
          <w:ilvl w:val="1"/>
          <w:numId w:val="14"/>
        </w:numPr>
        <w:tabs>
          <w:tab w:val="left" w:pos="851"/>
          <w:tab w:val="left" w:pos="993"/>
        </w:tabs>
        <w:spacing w:after="0"/>
        <w:ind w:left="0" w:firstLine="567"/>
        <w:jc w:val="both"/>
        <w:rPr>
          <w:sz w:val="24"/>
          <w:szCs w:val="24"/>
          <w:lang w:val="ro-RO"/>
        </w:rPr>
      </w:pPr>
      <w:r w:rsidRPr="000C6E07">
        <w:rPr>
          <w:sz w:val="24"/>
          <w:szCs w:val="24"/>
          <w:lang w:val="ro-RO"/>
        </w:rPr>
        <w:t>Dezvoltarea cooperării interinstituționale și interoperabilității în cadrul sistemului de siguranță publică.</w:t>
      </w:r>
    </w:p>
    <w:p w14:paraId="18693EC7"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Prin abordarea acestor priorități, Programul sprijină transpunerea operațională a obiectivelor SDDAI pentru a construi un sistem de ordine publică modern, profesionist și responsabil.</w:t>
      </w:r>
    </w:p>
    <w:p w14:paraId="189A0E18" w14:textId="77777777" w:rsidR="00F32FA7" w:rsidRPr="000C6E07" w:rsidRDefault="00F32FA7" w:rsidP="00F32FA7">
      <w:pPr>
        <w:tabs>
          <w:tab w:val="left" w:pos="851"/>
        </w:tabs>
        <w:spacing w:after="0"/>
        <w:ind w:firstLine="567"/>
        <w:jc w:val="both"/>
        <w:rPr>
          <w:bCs/>
          <w:sz w:val="24"/>
          <w:szCs w:val="24"/>
          <w:lang w:val="ro-RO"/>
        </w:rPr>
      </w:pPr>
      <w:r w:rsidRPr="000C6E07">
        <w:rPr>
          <w:bCs/>
          <w:sz w:val="24"/>
          <w:szCs w:val="24"/>
          <w:lang w:val="ro-RO"/>
        </w:rPr>
        <w:t xml:space="preserve">Este de menționat că, implementarea </w:t>
      </w:r>
      <w:r w:rsidRPr="000C6E07">
        <w:rPr>
          <w:b/>
          <w:i/>
          <w:iCs/>
          <w:sz w:val="24"/>
          <w:szCs w:val="24"/>
          <w:lang w:val="ro-RO"/>
        </w:rPr>
        <w:t>obiectivul general nr. 3</w:t>
      </w:r>
      <w:r w:rsidRPr="000C6E07">
        <w:rPr>
          <w:bCs/>
          <w:sz w:val="24"/>
          <w:szCs w:val="24"/>
          <w:lang w:val="ro-RO"/>
        </w:rPr>
        <w:t xml:space="preserve"> </w:t>
      </w:r>
      <w:r w:rsidRPr="000C6E07">
        <w:rPr>
          <w:bCs/>
          <w:i/>
          <w:iCs/>
          <w:sz w:val="24"/>
          <w:szCs w:val="24"/>
          <w:lang w:val="ro-RO"/>
        </w:rPr>
        <w:t>,,Siguranță rutieră sporită pe drumurile publice”</w:t>
      </w:r>
      <w:r w:rsidRPr="000C6E07">
        <w:rPr>
          <w:bCs/>
          <w:sz w:val="24"/>
          <w:szCs w:val="24"/>
          <w:lang w:val="ro-RO"/>
        </w:rPr>
        <w:t xml:space="preserve">, prevăzut de Strategia de dezvoltare a domeniului afacerilor interne 2022–2030 (SDDAI) va fi </w:t>
      </w:r>
      <w:r w:rsidRPr="000C6E07">
        <w:rPr>
          <w:bCs/>
          <w:sz w:val="24"/>
          <w:szCs w:val="24"/>
          <w:lang w:val="ro-RO"/>
        </w:rPr>
        <w:lastRenderedPageBreak/>
        <w:t>asigurat prin intermediul Programului național de siguranță rutieră pentru anii 2025-2030, aprobat prin Hotărârea Guvernului nr. 326/2025.</w:t>
      </w:r>
    </w:p>
    <w:p w14:paraId="691B723A" w14:textId="77777777" w:rsidR="00F32FA7" w:rsidRPr="000C6E07" w:rsidRDefault="00F32FA7" w:rsidP="00F32FA7">
      <w:pPr>
        <w:tabs>
          <w:tab w:val="left" w:pos="851"/>
        </w:tabs>
        <w:spacing w:after="0"/>
        <w:ind w:firstLine="567"/>
        <w:jc w:val="both"/>
        <w:rPr>
          <w:b/>
          <w:bCs/>
          <w:sz w:val="24"/>
          <w:szCs w:val="24"/>
          <w:lang w:val="ro-RO"/>
        </w:rPr>
      </w:pPr>
      <w:r w:rsidRPr="000C6E07">
        <w:rPr>
          <w:b/>
          <w:bCs/>
          <w:sz w:val="24"/>
          <w:szCs w:val="24"/>
          <w:lang w:val="ro-RO"/>
        </w:rPr>
        <w:t>2. Contribuția la realizarea Strategiei naționale de dezvoltare „Moldova Europeană 2030”</w:t>
      </w:r>
    </w:p>
    <w:p w14:paraId="5CFA0E29" w14:textId="53FC89A4"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contribuie la realizarea obiectivelor strategice ale SND „Moldova Europeană 2030”:</w:t>
      </w:r>
    </w:p>
    <w:p w14:paraId="7FFE14BB" w14:textId="4858EB96"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2.1. Obiectivul 9 – </w:t>
      </w:r>
      <w:r w:rsidRPr="000C6E07">
        <w:rPr>
          <w:i/>
          <w:iCs/>
          <w:sz w:val="24"/>
          <w:szCs w:val="24"/>
          <w:lang w:val="ro-RO"/>
        </w:rPr>
        <w:t>Promovarea unei societăți pașnice, sigure și incluzive</w:t>
      </w:r>
      <w:r w:rsidRPr="000C6E07">
        <w:rPr>
          <w:sz w:val="24"/>
          <w:szCs w:val="24"/>
          <w:lang w:val="ro-RO"/>
        </w:rPr>
        <w:t>: prin intervenții orientate spre siguranța comunitară, prevenirea violenței și consolidarea încrederii publice; prin măsuri specifice pentru protejarea drepturilor fundamentale și eliminarea discriminării.</w:t>
      </w:r>
    </w:p>
    <w:p w14:paraId="516E41F8"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2.2. Obiectivul 8 – </w:t>
      </w:r>
      <w:r w:rsidRPr="000C6E07">
        <w:rPr>
          <w:i/>
          <w:iCs/>
          <w:sz w:val="24"/>
          <w:szCs w:val="24"/>
          <w:lang w:val="ro-RO"/>
        </w:rPr>
        <w:t>Guvernare eficientă, justiție și supremația legii</w:t>
      </w:r>
      <w:r w:rsidRPr="000C6E07">
        <w:rPr>
          <w:sz w:val="24"/>
          <w:szCs w:val="24"/>
          <w:lang w:val="ro-RO"/>
        </w:rPr>
        <w:t>: promovează modernizarea forțelor de ordine și aplicarea unitară a legii; se integrează cu măsuri de combatere a corupției, responsabilizare instituțională și dezvoltare profesională.</w:t>
      </w:r>
    </w:p>
    <w:p w14:paraId="0DE5A0A3"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2.3. Obiectivul 2 – </w:t>
      </w:r>
      <w:r w:rsidRPr="000C6E07">
        <w:rPr>
          <w:i/>
          <w:iCs/>
          <w:sz w:val="24"/>
          <w:szCs w:val="24"/>
          <w:lang w:val="ro-RO"/>
        </w:rPr>
        <w:t>Creșterea accesului la infrastructura publică și serviciile de bază</w:t>
      </w:r>
      <w:r w:rsidRPr="000C6E07">
        <w:rPr>
          <w:sz w:val="24"/>
          <w:szCs w:val="24"/>
          <w:lang w:val="ro-RO"/>
        </w:rPr>
        <w:t>: vizibil prin modernizarea sediilor structurilor teritoriale ale poliției, dotarea acestora și digitalizarea proceselor operaționale.</w:t>
      </w:r>
    </w:p>
    <w:p w14:paraId="3D504304" w14:textId="77777777" w:rsidR="00F32FA7" w:rsidRPr="000C6E07" w:rsidRDefault="00F32FA7" w:rsidP="00F32FA7">
      <w:pPr>
        <w:tabs>
          <w:tab w:val="left" w:pos="851"/>
        </w:tabs>
        <w:spacing w:after="0"/>
        <w:ind w:firstLine="567"/>
        <w:jc w:val="both"/>
        <w:rPr>
          <w:b/>
          <w:bCs/>
          <w:sz w:val="24"/>
          <w:szCs w:val="24"/>
          <w:lang w:val="ro-RO"/>
        </w:rPr>
      </w:pPr>
      <w:r w:rsidRPr="000C6E07">
        <w:rPr>
          <w:b/>
          <w:bCs/>
          <w:sz w:val="24"/>
          <w:szCs w:val="24"/>
          <w:lang w:val="ro-RO"/>
        </w:rPr>
        <w:t>3. Aportul la atingerea Obiectivelor de Dezvoltare Durabilă (Agenda 2030)</w:t>
      </w:r>
    </w:p>
    <w:p w14:paraId="4B27B3F7"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este aliniat la Agenda 2030 pentru Dezvoltare Durabilă și contribuie la următoarele ODD-uri:</w:t>
      </w:r>
    </w:p>
    <w:p w14:paraId="4D2FD775" w14:textId="1652B74E"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3.1. ODD 16 – </w:t>
      </w:r>
      <w:r w:rsidRPr="000C6E07">
        <w:rPr>
          <w:i/>
          <w:iCs/>
          <w:sz w:val="24"/>
          <w:szCs w:val="24"/>
          <w:lang w:val="ro-RO"/>
        </w:rPr>
        <w:t>Pace, justiție și instituții eficiente</w:t>
      </w:r>
      <w:r w:rsidRPr="000C6E07">
        <w:rPr>
          <w:sz w:val="24"/>
          <w:szCs w:val="24"/>
          <w:lang w:val="ro-RO"/>
        </w:rPr>
        <w:t xml:space="preserve">: prin consolidarea capacității de reacție a structurilor de ordine, prevenirea violenței, combaterea </w:t>
      </w:r>
      <w:r w:rsidRPr="00B63119">
        <w:rPr>
          <w:sz w:val="24"/>
          <w:szCs w:val="24"/>
          <w:lang w:val="ro-RO"/>
        </w:rPr>
        <w:t>abuzurilor și</w:t>
      </w:r>
      <w:r w:rsidR="00C049DC" w:rsidRPr="00B63119">
        <w:rPr>
          <w:rFonts w:ascii="Segoe UI" w:hAnsi="Segoe UI" w:cs="Segoe UI"/>
          <w:sz w:val="18"/>
          <w:szCs w:val="18"/>
          <w:lang w:val="ro-RO"/>
        </w:rPr>
        <w:t xml:space="preserve"> </w:t>
      </w:r>
      <w:r w:rsidR="00C049DC" w:rsidRPr="00B63119">
        <w:rPr>
          <w:sz w:val="24"/>
          <w:szCs w:val="24"/>
          <w:lang w:val="ro-RO"/>
        </w:rPr>
        <w:t>garantarea accesului la justiție</w:t>
      </w:r>
      <w:r w:rsidRPr="00B63119">
        <w:rPr>
          <w:sz w:val="24"/>
          <w:szCs w:val="24"/>
          <w:lang w:val="ro-RO"/>
        </w:rPr>
        <w:t>.</w:t>
      </w:r>
    </w:p>
    <w:p w14:paraId="3F697D58"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3.2. ODD 5 – </w:t>
      </w:r>
      <w:r w:rsidRPr="000C6E07">
        <w:rPr>
          <w:i/>
          <w:iCs/>
          <w:sz w:val="24"/>
          <w:szCs w:val="24"/>
          <w:lang w:val="ro-RO"/>
        </w:rPr>
        <w:t>Egalitate de gen</w:t>
      </w:r>
      <w:r w:rsidRPr="000C6E07">
        <w:rPr>
          <w:sz w:val="24"/>
          <w:szCs w:val="24"/>
          <w:lang w:val="ro-RO"/>
        </w:rPr>
        <w:t>: prin integrarea măsurilor de prevenire și combatere a violenței de gen și promovarea participării femeilor în domeniul securității publice.</w:t>
      </w:r>
    </w:p>
    <w:p w14:paraId="4CFA6AA4"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3.3. ODD 3 – </w:t>
      </w:r>
      <w:r w:rsidRPr="000C6E07">
        <w:rPr>
          <w:i/>
          <w:iCs/>
          <w:sz w:val="24"/>
          <w:szCs w:val="24"/>
          <w:lang w:val="ro-RO"/>
        </w:rPr>
        <w:t>Sănătate și bunăstare</w:t>
      </w:r>
      <w:r w:rsidRPr="000C6E07">
        <w:rPr>
          <w:sz w:val="24"/>
          <w:szCs w:val="24"/>
          <w:lang w:val="ro-RO"/>
        </w:rPr>
        <w:t>: prin intervenții orientate spre siguranța rutieră, prevenirea accidentelor, crearea unui mediu sigur pentru comunități vulnerabile.</w:t>
      </w:r>
    </w:p>
    <w:p w14:paraId="3DD9EEF8"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3.4. ODD 10 – </w:t>
      </w:r>
      <w:r w:rsidRPr="000C6E07">
        <w:rPr>
          <w:i/>
          <w:iCs/>
          <w:sz w:val="24"/>
          <w:szCs w:val="24"/>
          <w:lang w:val="ro-RO"/>
        </w:rPr>
        <w:t>Reducerea inegalităților</w:t>
      </w:r>
      <w:r w:rsidRPr="000C6E07">
        <w:rPr>
          <w:sz w:val="24"/>
          <w:szCs w:val="24"/>
          <w:lang w:val="ro-RO"/>
        </w:rPr>
        <w:t>: prin măsuri specifice pentru protejarea persoanelor cu dizabilități, minorităților și altor grupuri vulnerabile în contact cu autoritățile de ordine publică.</w:t>
      </w:r>
    </w:p>
    <w:p w14:paraId="6CB16E51" w14:textId="77777777" w:rsidR="00F32FA7" w:rsidRPr="000C6E07" w:rsidRDefault="00F32FA7" w:rsidP="00F32FA7">
      <w:pPr>
        <w:tabs>
          <w:tab w:val="left" w:pos="851"/>
        </w:tabs>
        <w:spacing w:after="0"/>
        <w:ind w:firstLine="567"/>
        <w:jc w:val="both"/>
        <w:rPr>
          <w:b/>
          <w:bCs/>
          <w:sz w:val="24"/>
          <w:szCs w:val="24"/>
          <w:lang w:val="ro-RO"/>
        </w:rPr>
      </w:pPr>
      <w:r w:rsidRPr="000C6E07">
        <w:rPr>
          <w:b/>
          <w:bCs/>
          <w:sz w:val="24"/>
          <w:szCs w:val="24"/>
          <w:lang w:val="ro-RO"/>
        </w:rPr>
        <w:t>4. Alinierea cu Acordul de Asociere RM–UE</w:t>
      </w:r>
    </w:p>
    <w:p w14:paraId="6DE20B8A"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Programul reflectă și transpune în practică angajamentele asumate de Republica Moldova în cadrul Acordului de Asociere cu Uniunea Europeană, în special </w:t>
      </w:r>
      <w:r w:rsidRPr="000C6E07">
        <w:rPr>
          <w:b/>
          <w:bCs/>
          <w:sz w:val="24"/>
          <w:szCs w:val="24"/>
          <w:lang w:val="ro-RO"/>
        </w:rPr>
        <w:t>Titlul III – Libertate, securitate și justiție</w:t>
      </w:r>
      <w:r w:rsidRPr="000C6E07">
        <w:rPr>
          <w:sz w:val="24"/>
          <w:szCs w:val="24"/>
          <w:lang w:val="ro-RO"/>
        </w:rPr>
        <w:t>, articolele 12–16:</w:t>
      </w:r>
    </w:p>
    <w:p w14:paraId="13E19F8D" w14:textId="77777777" w:rsidR="00F32FA7" w:rsidRPr="000C6E07" w:rsidRDefault="00F32FA7" w:rsidP="00F32FA7">
      <w:pPr>
        <w:pStyle w:val="af9"/>
        <w:tabs>
          <w:tab w:val="left" w:pos="851"/>
        </w:tabs>
        <w:spacing w:after="0"/>
        <w:ind w:left="0" w:firstLine="567"/>
        <w:jc w:val="both"/>
        <w:rPr>
          <w:sz w:val="24"/>
          <w:szCs w:val="24"/>
          <w:lang w:val="ro-RO"/>
        </w:rPr>
      </w:pPr>
      <w:r w:rsidRPr="000C6E07">
        <w:rPr>
          <w:sz w:val="24"/>
          <w:szCs w:val="24"/>
          <w:lang w:val="ro-RO"/>
        </w:rPr>
        <w:t>4.1. Respectarea drepturilor omului în toate intervențiile autorităților;</w:t>
      </w:r>
    </w:p>
    <w:p w14:paraId="51B2A5C9" w14:textId="77777777" w:rsidR="00F32FA7" w:rsidRPr="000C6E07" w:rsidRDefault="00F32FA7" w:rsidP="00F32FA7">
      <w:pPr>
        <w:pStyle w:val="af9"/>
        <w:tabs>
          <w:tab w:val="left" w:pos="851"/>
        </w:tabs>
        <w:spacing w:after="0"/>
        <w:ind w:left="0" w:firstLine="567"/>
        <w:jc w:val="both"/>
        <w:rPr>
          <w:sz w:val="24"/>
          <w:szCs w:val="24"/>
          <w:lang w:val="ro-RO"/>
        </w:rPr>
      </w:pPr>
      <w:r w:rsidRPr="000C6E07">
        <w:rPr>
          <w:sz w:val="24"/>
          <w:szCs w:val="24"/>
          <w:lang w:val="ro-RO"/>
        </w:rPr>
        <w:t>4.2. Prevenirea torturii, tratamentelor inumane sau degradante;</w:t>
      </w:r>
    </w:p>
    <w:p w14:paraId="4D8EE763"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4.3. Creșterea cooperării în prevenirea și combaterea criminalității transfrontaliere și a terorismului;</w:t>
      </w:r>
    </w:p>
    <w:p w14:paraId="7E4F92DC"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4.4. Consolidarea capacității administrative și operaționale a poliției și carabinierilor.</w:t>
      </w:r>
    </w:p>
    <w:p w14:paraId="4DC1F037"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Programul constituie un pilon esențial în ciclul strategic guvernamental. Acesta va consolida intervențiile Ministerului Afacerilor Interne cu cele ale altor autorități și instituții publice, precum și cu angajamentele externe ale Republicii Moldova, oferind un cadru unitar de realizare a politicilor de ordine și securitate publică. În implementarea sa, Programul va urmări o orientare pe rezultate, stabilind indicatori de impact clar definiți și mecanisme de monitorizare pentru fiecare obiectiv. În același timp, principiul respectării drepturilor omului guvernează construcția programului: se asigură integrarea principiilor nediscriminării, accesibilității și protecției drepturilor fundamentale (inclusiv drepturile persoanelor cu dizabilități) în toate acțiunile planificate.</w:t>
      </w:r>
    </w:p>
    <w:p w14:paraId="24295635" w14:textId="77777777" w:rsidR="00F32FA7" w:rsidRPr="000C6E07" w:rsidRDefault="00F32FA7" w:rsidP="00F32FA7">
      <w:pPr>
        <w:tabs>
          <w:tab w:val="left" w:pos="851"/>
        </w:tabs>
        <w:spacing w:after="0"/>
        <w:ind w:firstLine="567"/>
        <w:jc w:val="both"/>
        <w:rPr>
          <w:sz w:val="24"/>
          <w:szCs w:val="24"/>
          <w:lang w:val="ro-RO"/>
        </w:rPr>
      </w:pPr>
      <w:r w:rsidRPr="000C6E07">
        <w:rPr>
          <w:sz w:val="24"/>
          <w:szCs w:val="24"/>
          <w:lang w:val="ro-RO"/>
        </w:rPr>
        <w:t xml:space="preserve">Interoperabilitatea instituțională </w:t>
      </w:r>
      <w:proofErr w:type="spellStart"/>
      <w:r w:rsidRPr="000C6E07">
        <w:rPr>
          <w:sz w:val="24"/>
          <w:szCs w:val="24"/>
          <w:lang w:val="ro-RO"/>
        </w:rPr>
        <w:t>şi</w:t>
      </w:r>
      <w:proofErr w:type="spellEnd"/>
      <w:r w:rsidRPr="000C6E07">
        <w:rPr>
          <w:sz w:val="24"/>
          <w:szCs w:val="24"/>
          <w:lang w:val="ro-RO"/>
        </w:rPr>
        <w:t xml:space="preserve"> digitalizarea serviciilor sunt alte principii cheie: Programul va promova dezvoltarea unor sisteme integrate de monitorizare și reacție (conectate la Strategia națională de transformare digitală) pentru eficiență sporită </w:t>
      </w:r>
      <w:proofErr w:type="spellStart"/>
      <w:r w:rsidRPr="000C6E07">
        <w:rPr>
          <w:sz w:val="24"/>
          <w:szCs w:val="24"/>
          <w:lang w:val="ro-RO"/>
        </w:rPr>
        <w:t>şi</w:t>
      </w:r>
      <w:proofErr w:type="spellEnd"/>
      <w:r w:rsidRPr="000C6E07">
        <w:rPr>
          <w:sz w:val="24"/>
          <w:szCs w:val="24"/>
          <w:lang w:val="ro-RO"/>
        </w:rPr>
        <w:t xml:space="preserve"> răspuns prompt la incidente. În spiritul angajamentelor europene („Nimeni să nu fie lăsat în urmă”), va fi accentuată incluziunea socială și protecția categoriilor vulnerabile, iar planificarea intervențiilor va fi centrată pe cetățean, prin prevenire și implicarea comunității.</w:t>
      </w:r>
    </w:p>
    <w:p w14:paraId="39D2EF5B" w14:textId="250A6A6D" w:rsidR="002417D9" w:rsidRPr="002417D9" w:rsidRDefault="00F32FA7" w:rsidP="002417D9">
      <w:pPr>
        <w:tabs>
          <w:tab w:val="left" w:pos="851"/>
        </w:tabs>
        <w:spacing w:after="0"/>
        <w:ind w:firstLine="567"/>
        <w:jc w:val="both"/>
        <w:rPr>
          <w:sz w:val="24"/>
          <w:szCs w:val="24"/>
          <w:lang w:val="ro-RO"/>
        </w:rPr>
      </w:pPr>
      <w:r w:rsidRPr="000C6E07">
        <w:rPr>
          <w:sz w:val="24"/>
          <w:szCs w:val="24"/>
          <w:lang w:val="ro-RO"/>
        </w:rPr>
        <w:t xml:space="preserve">În concluzie, Programul asigură coordonarea strategică între politicile naționale și standardele internaționale. Prin principiile menționate și prin colaborarea interinstituțională solidă, acesta va oferi un cadru coerent pentru creșterea siguranței publice </w:t>
      </w:r>
      <w:proofErr w:type="spellStart"/>
      <w:r w:rsidRPr="000C6E07">
        <w:rPr>
          <w:sz w:val="24"/>
          <w:szCs w:val="24"/>
          <w:lang w:val="ro-RO"/>
        </w:rPr>
        <w:t>şi</w:t>
      </w:r>
      <w:proofErr w:type="spellEnd"/>
      <w:r w:rsidRPr="000C6E07">
        <w:rPr>
          <w:sz w:val="24"/>
          <w:szCs w:val="24"/>
          <w:lang w:val="ro-RO"/>
        </w:rPr>
        <w:t xml:space="preserve"> consolidarea încrederii cetățenilor în stat.</w:t>
      </w:r>
    </w:p>
    <w:p w14:paraId="19EAABE9" w14:textId="7C94B4E3" w:rsidR="000C6E07" w:rsidRPr="000C6E07" w:rsidRDefault="000C6E07" w:rsidP="000C6E07">
      <w:pPr>
        <w:keepNext/>
        <w:keepLines/>
        <w:spacing w:after="0"/>
        <w:jc w:val="center"/>
        <w:outlineLvl w:val="0"/>
        <w:rPr>
          <w:b/>
          <w:bCs/>
          <w:sz w:val="24"/>
          <w:szCs w:val="24"/>
          <w:lang w:val="ro-RO"/>
        </w:rPr>
      </w:pPr>
      <w:r w:rsidRPr="000C6E07">
        <w:rPr>
          <w:sz w:val="24"/>
          <w:szCs w:val="24"/>
          <w:lang w:val="ro-RO"/>
        </w:rPr>
        <w:br w:type="page"/>
      </w:r>
      <w:r w:rsidRPr="000C6E07">
        <w:rPr>
          <w:b/>
          <w:bCs/>
          <w:sz w:val="24"/>
          <w:szCs w:val="24"/>
          <w:lang w:val="ro-RO"/>
        </w:rPr>
        <w:lastRenderedPageBreak/>
        <w:t>Capitolul II</w:t>
      </w:r>
    </w:p>
    <w:p w14:paraId="10C587A0" w14:textId="77777777" w:rsidR="000C6E07" w:rsidRPr="000C6E07" w:rsidRDefault="000C6E07" w:rsidP="000C6E07">
      <w:pPr>
        <w:pStyle w:val="1"/>
        <w:spacing w:before="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ANALIZA SITUAȚIEI</w:t>
      </w:r>
    </w:p>
    <w:p w14:paraId="04F0ADE4" w14:textId="79C34F38" w:rsidR="000C6E07" w:rsidRPr="000C6E07" w:rsidRDefault="000C6E07" w:rsidP="000C6E07">
      <w:pPr>
        <w:spacing w:after="0"/>
        <w:ind w:firstLine="540"/>
        <w:jc w:val="both"/>
        <w:rPr>
          <w:sz w:val="24"/>
          <w:szCs w:val="24"/>
          <w:lang w:val="ro-RO"/>
        </w:rPr>
      </w:pPr>
      <w:r w:rsidRPr="000C6E07">
        <w:rPr>
          <w:sz w:val="24"/>
          <w:szCs w:val="24"/>
          <w:lang w:val="ro-RO"/>
        </w:rPr>
        <w:t>Ordinea și securitatea publică constituie fundamente esențiale ale unui stat de drept funcțional, asigurând cadrul necesar pentru exercitarea drepturilor și libertăților fundamentale, protecția persoanei, a comunităților și a bunurilor, precum și buna funcționare a instituțiilor publice.</w:t>
      </w:r>
      <w:r w:rsidR="005349DF" w:rsidRPr="000C6E07">
        <w:rPr>
          <w:sz w:val="24"/>
          <w:szCs w:val="24"/>
          <w:lang w:val="ro-RO"/>
        </w:rPr>
        <w:t xml:space="preserve"> </w:t>
      </w:r>
      <w:r w:rsidRPr="000C6E07">
        <w:rPr>
          <w:sz w:val="24"/>
          <w:szCs w:val="24"/>
          <w:lang w:val="ro-RO"/>
        </w:rPr>
        <w:t>Această analiză explorează modul în care se manifestă preocupările privind ordinea și securitatea publică în Republica Moldova în diverse medii, de la spațiul domestic, în comunitate și în spații publice, în contexte specifice cum ar fi evenimentele publice, spațiul public din mediul online, până la zona de securitate și infrastructura critică.  Într-un context social și geopolitic aflat în continuă schimbare, analiza include o privire asupra tendințelor, amenințărilor emergente și vulnerabilităților serviciilor de ordine și securitate publică, dar reflectă și schimbările produse ca urmare a implementării Programului de ordine și securitate publică pentru anii 2022-2025, aprobat prin Hotărârea Guvernului  nr.913/2022.</w:t>
      </w:r>
    </w:p>
    <w:p w14:paraId="204BBB9D" w14:textId="77777777" w:rsidR="000C6E07" w:rsidRPr="000C6E07" w:rsidRDefault="000C6E07" w:rsidP="000C6E07">
      <w:pPr>
        <w:spacing w:before="240"/>
        <w:jc w:val="center"/>
        <w:rPr>
          <w:b/>
          <w:sz w:val="24"/>
          <w:lang w:val="ro-RO"/>
        </w:rPr>
      </w:pPr>
      <w:r w:rsidRPr="000C6E07">
        <w:rPr>
          <w:b/>
          <w:sz w:val="24"/>
          <w:lang w:val="ro-RO"/>
        </w:rPr>
        <w:t>Secțiunea 1. Siguranța la domiciliu, în comunitate și în spații publice</w:t>
      </w:r>
    </w:p>
    <w:p w14:paraId="14694593" w14:textId="77777777" w:rsidR="000C6E07" w:rsidRPr="000C6E07" w:rsidRDefault="000C6E07" w:rsidP="000C6E07">
      <w:pPr>
        <w:spacing w:after="0"/>
        <w:ind w:firstLine="539"/>
        <w:jc w:val="both"/>
        <w:rPr>
          <w:sz w:val="24"/>
          <w:lang w:val="ro-RO"/>
        </w:rPr>
      </w:pPr>
      <w:r w:rsidRPr="000C6E07">
        <w:rPr>
          <w:sz w:val="24"/>
          <w:szCs w:val="24"/>
          <w:lang w:val="ro-RO"/>
        </w:rPr>
        <w:t>Potrivit Barometrului Opiniei Publice (în continuare – BOP) din 2024</w:t>
      </w:r>
      <w:r w:rsidRPr="000C6E07">
        <w:rPr>
          <w:rStyle w:val="aff3"/>
          <w:sz w:val="24"/>
          <w:szCs w:val="24"/>
          <w:lang w:val="ro-RO"/>
        </w:rPr>
        <w:footnoteReference w:id="1"/>
      </w:r>
      <w:r w:rsidRPr="000C6E07">
        <w:rPr>
          <w:sz w:val="24"/>
          <w:szCs w:val="24"/>
          <w:lang w:val="ro-RO"/>
        </w:rPr>
        <w:t>, majoritatea populației se simte în siguranță acasă, 90% declarând că se simt pe deplin sau mai degrabă în siguranță pe timp de zi și 84% pe timp de noapte, ceea ce confirmă percepția generală a locuinței ca un spațiu sigur.</w:t>
      </w:r>
      <w:r w:rsidRPr="000C6E07">
        <w:rPr>
          <w:sz w:val="24"/>
          <w:lang w:val="ro-RO"/>
        </w:rPr>
        <w:t xml:space="preserve"> </w:t>
      </w:r>
    </w:p>
    <w:p w14:paraId="259ED7D5" w14:textId="77777777" w:rsidR="000C6E07" w:rsidRPr="000C6E07" w:rsidRDefault="000C6E07" w:rsidP="000C6E07">
      <w:pPr>
        <w:spacing w:after="0"/>
        <w:jc w:val="center"/>
        <w:rPr>
          <w:lang w:val="ro-RO"/>
        </w:rPr>
      </w:pPr>
      <w:r w:rsidRPr="000C6E07">
        <w:rPr>
          <w:noProof/>
          <w:lang w:val="ro-RO"/>
        </w:rPr>
        <w:drawing>
          <wp:inline distT="0" distB="0" distL="0" distR="0" wp14:anchorId="2BD9AC27" wp14:editId="58AE24B7">
            <wp:extent cx="5940425" cy="1440000"/>
            <wp:effectExtent l="0" t="0" r="3175" b="825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CAC3C8"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1. </w:t>
      </w:r>
      <w:r w:rsidRPr="000C6E07">
        <w:rPr>
          <w:i/>
          <w:sz w:val="24"/>
          <w:szCs w:val="24"/>
          <w:lang w:val="ro-RO"/>
        </w:rPr>
        <w:t>Percepția populației privind siguranța în timpul zilei și nopții (2024)</w:t>
      </w:r>
    </w:p>
    <w:p w14:paraId="52C5B718"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IPP, Barometrul Opiniei Publice 2024</w:t>
      </w:r>
    </w:p>
    <w:p w14:paraId="060DF761" w14:textId="77777777" w:rsidR="000C6E07" w:rsidRPr="000C6E07" w:rsidRDefault="000C6E07" w:rsidP="000C6E07">
      <w:pPr>
        <w:spacing w:after="0"/>
        <w:ind w:firstLine="539"/>
        <w:jc w:val="both"/>
        <w:rPr>
          <w:sz w:val="24"/>
          <w:lang w:val="ro-RO"/>
        </w:rPr>
      </w:pPr>
      <w:r w:rsidRPr="000C6E07">
        <w:rPr>
          <w:sz w:val="24"/>
          <w:lang w:val="ro-RO"/>
        </w:rPr>
        <w:t xml:space="preserve">Constatările BOP, sunt confirmate și de datele sondajului </w:t>
      </w:r>
      <w:r w:rsidRPr="001B5C58">
        <w:rPr>
          <w:sz w:val="24"/>
          <w:lang w:val="ro-RO"/>
        </w:rPr>
        <w:t>național CPD</w:t>
      </w:r>
      <w:r w:rsidRPr="001B5C58">
        <w:rPr>
          <w:rStyle w:val="aff3"/>
          <w:sz w:val="24"/>
          <w:lang w:val="ro-RO"/>
        </w:rPr>
        <w:footnoteReference w:id="2"/>
      </w:r>
      <w:r w:rsidRPr="001B5C58" w:rsidDel="00AA6687">
        <w:rPr>
          <w:sz w:val="24"/>
          <w:lang w:val="ro-RO"/>
        </w:rPr>
        <w:t xml:space="preserve"> </w:t>
      </w:r>
      <w:r w:rsidRPr="001B5C58">
        <w:rPr>
          <w:sz w:val="24"/>
          <w:lang w:val="ro-RO"/>
        </w:rPr>
        <w:t>care</w:t>
      </w:r>
      <w:r w:rsidRPr="000C6E07">
        <w:rPr>
          <w:sz w:val="24"/>
          <w:lang w:val="ro-RO"/>
        </w:rPr>
        <w:t xml:space="preserve"> constată în 2025, un nivel de </w:t>
      </w:r>
      <w:r w:rsidRPr="000C6E07">
        <w:rPr>
          <w:sz w:val="24"/>
          <w:szCs w:val="24"/>
          <w:lang w:val="ro-RO"/>
        </w:rPr>
        <w:t>siguranță</w:t>
      </w:r>
      <w:r w:rsidRPr="000C6E07">
        <w:rPr>
          <w:sz w:val="24"/>
          <w:lang w:val="ro-RO"/>
        </w:rPr>
        <w:t xml:space="preserve"> deplină sau mai degrabă în siguranță de 93,4% ziua acasă și de 85% noaptea acasă.</w:t>
      </w:r>
    </w:p>
    <w:p w14:paraId="60D7E7AD" w14:textId="77777777" w:rsidR="000C6E07" w:rsidRPr="000C6E07" w:rsidRDefault="000C6E07" w:rsidP="000C6E07">
      <w:pPr>
        <w:spacing w:after="0"/>
        <w:jc w:val="center"/>
        <w:rPr>
          <w:lang w:val="ro-RO"/>
        </w:rPr>
      </w:pPr>
      <w:r w:rsidRPr="000C6E07">
        <w:rPr>
          <w:noProof/>
          <w:lang w:val="ro-RO"/>
        </w:rPr>
        <w:drawing>
          <wp:inline distT="0" distB="0" distL="0" distR="0" wp14:anchorId="2BC36470" wp14:editId="01F0DC02">
            <wp:extent cx="5984341" cy="1440000"/>
            <wp:effectExtent l="0" t="0" r="16510" b="825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DFD4D4"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2. </w:t>
      </w:r>
      <w:r w:rsidRPr="000C6E07">
        <w:rPr>
          <w:i/>
          <w:sz w:val="24"/>
          <w:szCs w:val="24"/>
          <w:lang w:val="ro-RO"/>
        </w:rPr>
        <w:t>Percepția populației privind siguranța în timpul zilei și nopții (2025)</w:t>
      </w:r>
    </w:p>
    <w:p w14:paraId="06F4A1F6"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71F5FEC8" w14:textId="77777777" w:rsidR="000C6E07" w:rsidRPr="000C6E07" w:rsidRDefault="000C6E07" w:rsidP="000C6E07">
      <w:pPr>
        <w:spacing w:after="120"/>
        <w:jc w:val="both"/>
        <w:rPr>
          <w:sz w:val="24"/>
          <w:lang w:val="ro-RO"/>
        </w:rPr>
      </w:pPr>
      <w:r w:rsidRPr="000C6E07">
        <w:rPr>
          <w:sz w:val="24"/>
          <w:lang w:val="ro-RO"/>
        </w:rPr>
        <w:t xml:space="preserve">Datele sondajului CPD pentru anii 2018-2025, indică o creștere constantă a sentimentului de siguranță la domiciliu, atât ziua, cât și noaptea, reflectând un trend general de stabilizare socială. Proporția celor care se simt „în siguranță deplină” ziua a crescut de la 52% (2018) la 64,6% (2023), menținându-se la 61% în 2025, iar noaptea de la 38,7% la 50,3%. Simultan, numărul celor care nu se simt deloc în siguranță a scăzut semnificativ. </w:t>
      </w:r>
    </w:p>
    <w:p w14:paraId="053C2324" w14:textId="77777777" w:rsidR="000C6E07" w:rsidRPr="000C6E07" w:rsidRDefault="000C6E07" w:rsidP="000C6E07">
      <w:pPr>
        <w:spacing w:after="0"/>
        <w:jc w:val="center"/>
        <w:rPr>
          <w:sz w:val="24"/>
          <w:lang w:val="ro-RO"/>
        </w:rPr>
      </w:pPr>
      <w:r w:rsidRPr="000C6E07">
        <w:rPr>
          <w:noProof/>
          <w:lang w:val="ro-RO"/>
        </w:rPr>
        <w:lastRenderedPageBreak/>
        <w:drawing>
          <wp:inline distT="0" distB="0" distL="0" distR="0" wp14:anchorId="1034D880" wp14:editId="56625A94">
            <wp:extent cx="2952000" cy="2160000"/>
            <wp:effectExtent l="0" t="0" r="1270" b="1206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C6E07">
        <w:rPr>
          <w:noProof/>
          <w:lang w:val="ro-RO"/>
        </w:rPr>
        <w:drawing>
          <wp:inline distT="0" distB="0" distL="0" distR="0" wp14:anchorId="1639B377" wp14:editId="3EA68B96">
            <wp:extent cx="2952000" cy="2160000"/>
            <wp:effectExtent l="0" t="0" r="1270" b="1206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1CBF84"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3. </w:t>
      </w:r>
      <w:r w:rsidRPr="000C6E07">
        <w:rPr>
          <w:i/>
          <w:sz w:val="24"/>
          <w:szCs w:val="24"/>
          <w:lang w:val="ro-RO"/>
        </w:rPr>
        <w:t>Percepția populației privind siguranța în timpul zilei și nopții, acasă (2025)</w:t>
      </w:r>
    </w:p>
    <w:p w14:paraId="3CEC27EF"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4AC4D4C4" w14:textId="77777777" w:rsidR="000C6E07" w:rsidRPr="000C6E07" w:rsidRDefault="000C6E07" w:rsidP="000C6E07">
      <w:pPr>
        <w:spacing w:after="0"/>
        <w:ind w:firstLine="540"/>
        <w:jc w:val="both"/>
        <w:rPr>
          <w:sz w:val="24"/>
          <w:lang w:val="ro-RO"/>
        </w:rPr>
      </w:pPr>
      <w:r w:rsidRPr="000C6E07">
        <w:rPr>
          <w:sz w:val="24"/>
          <w:lang w:val="ro-RO"/>
        </w:rPr>
        <w:t>Factorii determinați pentru aceste evoluții au fost identificați ca fiind modernizarea locuințelor, supravegherea comunitară și digitalizarea sistemelor de securitate, dar persistă diferențe între zi și noapte, sugerând necesitatea unor măsuri orientate mai clar spre sporirea siguranței rezidențiale nocturne, mai ales pentru persoanele vulnerabile. Totodată, măsurile care pot îmbunătăți sentimentul de siguranță în spațiile publice ar putea include o mai bună patrulare a spațiilor publice în timpul zilei, precum și iluminatul străzilor și parcurilor pe timp de noapte.</w:t>
      </w:r>
    </w:p>
    <w:p w14:paraId="7C232DFA" w14:textId="77777777" w:rsidR="000C6E07" w:rsidRPr="000C6E07" w:rsidRDefault="000C6E07" w:rsidP="000C6E07">
      <w:pPr>
        <w:ind w:firstLine="540"/>
        <w:jc w:val="both"/>
        <w:rPr>
          <w:sz w:val="24"/>
          <w:lang w:val="ro-RO"/>
        </w:rPr>
      </w:pPr>
      <w:r w:rsidRPr="000C6E07">
        <w:rPr>
          <w:sz w:val="24"/>
          <w:lang w:val="ro-RO"/>
        </w:rPr>
        <w:t>Conform aceluiași sondaj CPD, percepția siguranței în locurile publice s-a îmbunătățit ziua – 49,7% dintre cetățeni se simt în siguranță deplină în 2025, față de 42% în 2018, iar doar 1,8% declară că nu se simt deloc în siguranță (față de 2,8% în 2018). Noaptea, însă, sentimentul de nesiguranță persistă: doar 33,2% se simt în siguranță deplină (comparativ cu 26,5% în 2018), în timp ce 20,9% spun că mai degrabă nu se simt în siguranță și 8,8% că nu se simt deloc în siguranță. Femeile, tinerii și vârstnicii sunt cele mai expuse grupuri, în contextul unor factori precum iluminatul public insuficient, lipsa patrulelor vizibile și transportul public redus pe timp de noapte.</w:t>
      </w:r>
    </w:p>
    <w:p w14:paraId="6CA7DAA9" w14:textId="77777777" w:rsidR="000C6E07" w:rsidRPr="000C6E07" w:rsidRDefault="000C6E07" w:rsidP="000C6E07">
      <w:pPr>
        <w:spacing w:after="0"/>
        <w:jc w:val="center"/>
        <w:rPr>
          <w:sz w:val="24"/>
          <w:lang w:val="ro-RO"/>
        </w:rPr>
      </w:pPr>
      <w:r w:rsidRPr="000C6E07">
        <w:rPr>
          <w:noProof/>
          <w:lang w:val="ro-RO"/>
        </w:rPr>
        <w:drawing>
          <wp:inline distT="0" distB="0" distL="0" distR="0" wp14:anchorId="1645CB8B" wp14:editId="0E9E4301">
            <wp:extent cx="2952000" cy="2160000"/>
            <wp:effectExtent l="0" t="0" r="1270" b="1206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C6E07">
        <w:rPr>
          <w:noProof/>
          <w:lang w:val="ro-RO"/>
        </w:rPr>
        <w:drawing>
          <wp:inline distT="0" distB="0" distL="0" distR="0" wp14:anchorId="687D36FB" wp14:editId="26B32F2D">
            <wp:extent cx="2952000" cy="2160000"/>
            <wp:effectExtent l="0" t="0" r="1270" b="1206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7C758F"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4. </w:t>
      </w:r>
      <w:r w:rsidRPr="000C6E07">
        <w:rPr>
          <w:i/>
          <w:sz w:val="24"/>
          <w:szCs w:val="24"/>
          <w:lang w:val="ro-RO"/>
        </w:rPr>
        <w:t>Percepția populației privind siguranța în timpul zilei și nopții, în stradă (2025)</w:t>
      </w:r>
    </w:p>
    <w:p w14:paraId="07B6EC02"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0F88C25A" w14:textId="77777777" w:rsidR="000C6E07" w:rsidRPr="000C6E07" w:rsidRDefault="000C6E07" w:rsidP="000C6E07">
      <w:pPr>
        <w:spacing w:after="0"/>
        <w:ind w:firstLine="539"/>
        <w:jc w:val="both"/>
        <w:rPr>
          <w:sz w:val="24"/>
          <w:lang w:val="ro-RO"/>
        </w:rPr>
      </w:pPr>
      <w:r w:rsidRPr="000C6E07">
        <w:rPr>
          <w:sz w:val="24"/>
          <w:lang w:val="ro-RO"/>
        </w:rPr>
        <w:t>Percepția de nesiguranță în spațiile publice pe timp de noapte variază semnificativ în funcție de contextul social și demografic. De exemplu, femeile declară un nivel de siguranță mult mai mic decât al bărbaților, pe timp de noapte în stradă: 77,6% din bărbați se simt în siguranță deplină sau mai degrabă în siguranță, pe când doar 54,9% din femei împărtășesc aceeași percepție de siguranță.</w:t>
      </w:r>
    </w:p>
    <w:p w14:paraId="0C949DF6" w14:textId="77777777" w:rsidR="000C6E07" w:rsidRPr="000C6E07" w:rsidRDefault="000C6E07" w:rsidP="000C6E07">
      <w:pPr>
        <w:spacing w:after="0"/>
        <w:jc w:val="center"/>
        <w:rPr>
          <w:sz w:val="24"/>
          <w:lang w:val="ro-RO"/>
        </w:rPr>
      </w:pPr>
      <w:r w:rsidRPr="000C6E07">
        <w:rPr>
          <w:noProof/>
          <w:lang w:val="ro-RO"/>
        </w:rPr>
        <w:lastRenderedPageBreak/>
        <w:drawing>
          <wp:inline distT="0" distB="0" distL="0" distR="0" wp14:anchorId="43258BB8" wp14:editId="126DD86E">
            <wp:extent cx="5930020" cy="1800000"/>
            <wp:effectExtent l="0" t="0" r="13970" b="1016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7CA0BD"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5. </w:t>
      </w:r>
      <w:r w:rsidRPr="000C6E07">
        <w:rPr>
          <w:i/>
          <w:sz w:val="24"/>
          <w:szCs w:val="24"/>
          <w:lang w:val="ro-RO"/>
        </w:rPr>
        <w:t>Percepția populației privind siguranța în timpul nopții, dezagregat pe gen (2025)</w:t>
      </w:r>
    </w:p>
    <w:p w14:paraId="142F393F" w14:textId="77777777" w:rsidR="000C6E07" w:rsidRPr="000C6E07" w:rsidRDefault="000C6E07" w:rsidP="000C6E07">
      <w:pPr>
        <w:spacing w:after="120"/>
        <w:ind w:firstLine="539"/>
        <w:jc w:val="center"/>
        <w:rPr>
          <w:i/>
          <w:sz w:val="24"/>
          <w:szCs w:val="24"/>
          <w:lang w:val="ro-RO"/>
        </w:rPr>
      </w:pPr>
      <w:r w:rsidRPr="000C6E07">
        <w:rPr>
          <w:b/>
          <w:sz w:val="24"/>
          <w:szCs w:val="24"/>
          <w:lang w:val="ro-RO"/>
        </w:rPr>
        <w:t>Sursa:</w:t>
      </w:r>
      <w:r w:rsidRPr="000C6E07">
        <w:rPr>
          <w:sz w:val="24"/>
          <w:szCs w:val="24"/>
          <w:lang w:val="ro-RO"/>
        </w:rPr>
        <w:t xml:space="preserve"> </w:t>
      </w:r>
      <w:r w:rsidRPr="000C6E07">
        <w:rPr>
          <w:i/>
          <w:sz w:val="24"/>
          <w:szCs w:val="24"/>
          <w:lang w:val="ro-RO"/>
        </w:rPr>
        <w:t>Studiul CPD Moldova inegală (2025)</w:t>
      </w:r>
    </w:p>
    <w:p w14:paraId="72B3DD68" w14:textId="77777777" w:rsidR="000C6E07" w:rsidRPr="000C6E07" w:rsidRDefault="000C6E07" w:rsidP="000C6E07">
      <w:pPr>
        <w:spacing w:after="0"/>
        <w:ind w:firstLine="540"/>
        <w:jc w:val="both"/>
        <w:rPr>
          <w:sz w:val="24"/>
          <w:lang w:val="ro-RO"/>
        </w:rPr>
      </w:pPr>
      <w:r w:rsidRPr="000C6E07">
        <w:rPr>
          <w:sz w:val="24"/>
          <w:lang w:val="ro-RO"/>
        </w:rPr>
        <w:t>Percepția de nesiguranță este mai accentuată în rândul persoanelor cu dizabilități. Persoanele cu dizabilități resimt un nivel mai ridicat de insecuritate, în special în spațiile publice pe timp de noapte, comparativ cu populația generală. La domiciliu, în timpul zilei, 54,5% dintre ele se simt în siguranță deplină, însă acest procent scade la 43,9% noaptea, în timp ce cei care se simt nesiguri se dublează, ajungând la 17%. În spațiile publice, situația este mai gravă: doar 42,3% din persoanele cu dizabilități declară siguranță deplină ziua, procent care scade dramatic la 25,6% noaptea. Aproape 34% trăiesc cu sentimentul de nesiguranță pe timp de noapte în afara locuinței. Aceste cifre indică probleme structurale legate de accesibilitatea mediului, lipsa infrastructurii adecvate și insuficiența măsurilor de protecție pentru persoanele vulnerabile.</w:t>
      </w:r>
    </w:p>
    <w:p w14:paraId="7941CF78" w14:textId="718B639E" w:rsidR="000C6E07" w:rsidRPr="000C6E07" w:rsidRDefault="000C6E07" w:rsidP="000C6E07">
      <w:pPr>
        <w:pStyle w:val="Normal3"/>
        <w:spacing w:before="0" w:beforeAutospacing="0" w:after="0" w:line="240" w:lineRule="auto"/>
        <w:ind w:firstLine="539"/>
        <w:jc w:val="both"/>
        <w:rPr>
          <w:rFonts w:ascii="Times New Roman" w:eastAsia="Calibri" w:hAnsi="Times New Roman"/>
          <w:sz w:val="24"/>
          <w:szCs w:val="24"/>
          <w:lang w:val="ro-RO"/>
        </w:rPr>
      </w:pPr>
      <w:r w:rsidRPr="000C6E07">
        <w:rPr>
          <w:rFonts w:ascii="Times New Roman" w:eastAsia="Calibri" w:hAnsi="Times New Roman"/>
          <w:b/>
          <w:sz w:val="24"/>
          <w:szCs w:val="24"/>
          <w:lang w:val="ro-RO"/>
        </w:rPr>
        <w:t xml:space="preserve">În ultimii ani, indicatorii infracționalității au cunoscut o tendință generală de scădere, cu unele </w:t>
      </w:r>
      <w:r w:rsidRPr="00B63119">
        <w:rPr>
          <w:rFonts w:ascii="Times New Roman" w:eastAsia="Calibri" w:hAnsi="Times New Roman"/>
          <w:b/>
          <w:sz w:val="24"/>
          <w:szCs w:val="24"/>
          <w:lang w:val="ro-RO"/>
        </w:rPr>
        <w:t xml:space="preserve">fluctuații minore. </w:t>
      </w:r>
      <w:r w:rsidRPr="00B63119">
        <w:rPr>
          <w:rFonts w:ascii="Times New Roman" w:eastAsia="Calibri" w:hAnsi="Times New Roman"/>
          <w:sz w:val="24"/>
          <w:szCs w:val="24"/>
          <w:lang w:val="ro-RO"/>
        </w:rPr>
        <w:t>Numărul total al infracțiunilor înregistrate a scăzut de la peste 27</w:t>
      </w:r>
      <w:r w:rsidR="0057401C" w:rsidRPr="00B63119">
        <w:rPr>
          <w:rFonts w:ascii="Times New Roman" w:eastAsia="Calibri" w:hAnsi="Times New Roman"/>
          <w:sz w:val="24"/>
          <w:szCs w:val="24"/>
          <w:lang w:val="ro-RO"/>
        </w:rPr>
        <w:t>.200</w:t>
      </w:r>
      <w:r w:rsidRPr="00B63119">
        <w:rPr>
          <w:rFonts w:ascii="Times New Roman" w:eastAsia="Calibri" w:hAnsi="Times New Roman"/>
          <w:sz w:val="24"/>
          <w:szCs w:val="24"/>
          <w:lang w:val="ro-RO"/>
        </w:rPr>
        <w:t xml:space="preserve"> (2021) la 24</w:t>
      </w:r>
      <w:r w:rsidR="0057401C" w:rsidRPr="00B63119">
        <w:rPr>
          <w:rFonts w:ascii="Times New Roman" w:eastAsia="Calibri" w:hAnsi="Times New Roman"/>
          <w:sz w:val="24"/>
          <w:szCs w:val="24"/>
          <w:lang w:val="ro-RO"/>
        </w:rPr>
        <w:t xml:space="preserve">.600 </w:t>
      </w:r>
      <w:r w:rsidRPr="00B63119">
        <w:rPr>
          <w:rFonts w:ascii="Times New Roman" w:eastAsia="Calibri" w:hAnsi="Times New Roman"/>
          <w:sz w:val="24"/>
          <w:szCs w:val="24"/>
          <w:lang w:val="ro-RO"/>
        </w:rPr>
        <w:t>(2024), ia</w:t>
      </w:r>
      <w:r w:rsidRPr="000C6E07">
        <w:rPr>
          <w:rFonts w:ascii="Times New Roman" w:eastAsia="Calibri" w:hAnsi="Times New Roman"/>
          <w:sz w:val="24"/>
          <w:szCs w:val="24"/>
          <w:lang w:val="ro-RO"/>
        </w:rPr>
        <w:t xml:space="preserve">r rata infracționalității raportată la 10.000 de locuitori a coborât de la 106 la 102. Totuși, este de notat că în 2024, comparativ cu anul 2023 s-a înregistrat o ușoară creștere atât a numărului total de infracțiuni (+600), </w:t>
      </w:r>
      <w:proofErr w:type="spellStart"/>
      <w:r w:rsidRPr="000C6E07">
        <w:rPr>
          <w:rFonts w:ascii="Times New Roman" w:eastAsia="Calibri" w:hAnsi="Times New Roman"/>
          <w:sz w:val="24"/>
          <w:szCs w:val="24"/>
          <w:lang w:val="ro-RO"/>
        </w:rPr>
        <w:t>cît</w:t>
      </w:r>
      <w:proofErr w:type="spellEnd"/>
      <w:r w:rsidRPr="000C6E07">
        <w:rPr>
          <w:rFonts w:ascii="Times New Roman" w:eastAsia="Calibri" w:hAnsi="Times New Roman"/>
          <w:sz w:val="24"/>
          <w:szCs w:val="24"/>
          <w:lang w:val="ro-RO"/>
        </w:rPr>
        <w:t xml:space="preserve"> și a ratei la 10 mii locuitori (+3). Această evoluție sugerează o ameliorare treptată a situației generale din punct de vedere al securității publice, însă fluctuația din 2024 indică necesitatea menținerii vigilenței și consolidării eforturilor preventive.</w:t>
      </w:r>
      <w:r w:rsidRPr="000C6E07">
        <w:rPr>
          <w:rStyle w:val="aff3"/>
          <w:rFonts w:ascii="Times New Roman" w:eastAsia="Calibri" w:hAnsi="Times New Roman"/>
          <w:sz w:val="24"/>
          <w:szCs w:val="24"/>
          <w:lang w:val="ro-RO"/>
        </w:rPr>
        <w:footnoteReference w:id="3"/>
      </w:r>
      <w:r w:rsidRPr="000C6E07">
        <w:rPr>
          <w:rFonts w:ascii="Times New Roman" w:eastAsia="Calibri" w:hAnsi="Times New Roman"/>
          <w:sz w:val="24"/>
          <w:szCs w:val="24"/>
          <w:lang w:val="ro-RO"/>
        </w:rPr>
        <w:t xml:space="preserve"> (Figura 6 ).</w:t>
      </w:r>
    </w:p>
    <w:p w14:paraId="6CC135FD" w14:textId="77777777" w:rsidR="000C6E07" w:rsidRPr="000C6E07" w:rsidRDefault="000C6E07" w:rsidP="000C6E07">
      <w:pPr>
        <w:pStyle w:val="Normal3"/>
        <w:spacing w:before="0" w:beforeAutospacing="0" w:after="0" w:line="240" w:lineRule="auto"/>
        <w:ind w:firstLine="540"/>
        <w:jc w:val="center"/>
        <w:rPr>
          <w:rFonts w:ascii="Times New Roman" w:eastAsia="Calibri" w:hAnsi="Times New Roman"/>
          <w:sz w:val="24"/>
          <w:szCs w:val="24"/>
          <w:lang w:val="ro-RO"/>
        </w:rPr>
      </w:pPr>
      <w:r w:rsidRPr="000C6E07">
        <w:rPr>
          <w:noProof/>
          <w:lang w:val="ro-RO"/>
        </w:rPr>
        <w:drawing>
          <wp:inline distT="0" distB="0" distL="0" distR="0" wp14:anchorId="1B14AB7C" wp14:editId="03037E61">
            <wp:extent cx="5283200" cy="1800000"/>
            <wp:effectExtent l="0" t="0" r="0" b="0"/>
            <wp:docPr id="37" name="Chart 3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410D71" w14:textId="77777777" w:rsidR="000C6E07" w:rsidRPr="000C6E07" w:rsidRDefault="000C6E07" w:rsidP="000C6E07">
      <w:pPr>
        <w:spacing w:after="0"/>
        <w:ind w:firstLine="540"/>
        <w:jc w:val="center"/>
        <w:rPr>
          <w:i/>
          <w:sz w:val="24"/>
          <w:szCs w:val="24"/>
          <w:lang w:val="ro-RO" w:eastAsia="ro-RO"/>
        </w:rPr>
      </w:pPr>
      <w:r w:rsidRPr="000C6E07">
        <w:rPr>
          <w:b/>
          <w:sz w:val="24"/>
          <w:szCs w:val="24"/>
          <w:lang w:val="ro-RO" w:eastAsia="ro-RO"/>
        </w:rPr>
        <w:t>Figura 6.</w:t>
      </w:r>
      <w:r w:rsidRPr="000C6E07">
        <w:rPr>
          <w:i/>
          <w:sz w:val="24"/>
          <w:szCs w:val="24"/>
          <w:lang w:val="ro-RO" w:eastAsia="ro-RO"/>
        </w:rPr>
        <w:t xml:space="preserve"> Rata infracționalității</w:t>
      </w:r>
    </w:p>
    <w:p w14:paraId="19AD7C7F" w14:textId="77777777" w:rsidR="000C6E07" w:rsidRPr="000C6E07" w:rsidRDefault="000C6E07" w:rsidP="000C6E07">
      <w:pPr>
        <w:spacing w:after="120"/>
        <w:ind w:firstLine="539"/>
        <w:jc w:val="center"/>
        <w:rPr>
          <w:i/>
          <w:sz w:val="24"/>
          <w:szCs w:val="24"/>
          <w:lang w:val="ro-RO" w:eastAsia="ro-RO"/>
        </w:rPr>
      </w:pPr>
      <w:r w:rsidRPr="000C6E07">
        <w:rPr>
          <w:b/>
          <w:sz w:val="24"/>
          <w:szCs w:val="24"/>
          <w:lang w:val="ro-RO" w:eastAsia="ro-RO"/>
        </w:rPr>
        <w:t>Sursa:</w:t>
      </w:r>
      <w:r w:rsidRPr="000C6E07">
        <w:rPr>
          <w:i/>
          <w:sz w:val="24"/>
          <w:szCs w:val="24"/>
          <w:lang w:val="ro-RO" w:eastAsia="ro-RO"/>
        </w:rPr>
        <w:t xml:space="preserve"> </w:t>
      </w:r>
      <w:r w:rsidRPr="000C6E07">
        <w:rPr>
          <w:i/>
          <w:sz w:val="24"/>
          <w:szCs w:val="24"/>
          <w:lang w:val="ro-RO"/>
        </w:rPr>
        <w:t>Biroul Național de Statistică</w:t>
      </w:r>
    </w:p>
    <w:p w14:paraId="2F8DE2D0"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Din totalul infracțiunilor înregistrate, în 2024 cea mai mare pondere o dețineau infracțiunile contra patrimoniului (35,4). Infracțiuni contra securității și ordinii publice au constituit 5,6%, contra familiei și minorilor 4,5, iar infracțiunile contra sănătății și conviețuirii sociale 4,7%. Conform tipului infracțiunii, prevalează </w:t>
      </w:r>
      <w:r w:rsidRPr="000C6E07">
        <w:rPr>
          <w:i/>
          <w:sz w:val="24"/>
          <w:szCs w:val="24"/>
          <w:lang w:val="ro-RO"/>
        </w:rPr>
        <w:t>furturile</w:t>
      </w:r>
      <w:r w:rsidRPr="000C6E07">
        <w:rPr>
          <w:sz w:val="24"/>
          <w:szCs w:val="24"/>
          <w:lang w:val="ro-RO"/>
        </w:rPr>
        <w:t xml:space="preserve"> (art. 186 Cod Penal) cu 17,9% din numărul total, urmate de </w:t>
      </w:r>
      <w:r w:rsidRPr="000C6E07">
        <w:rPr>
          <w:i/>
          <w:sz w:val="24"/>
          <w:szCs w:val="24"/>
          <w:lang w:val="ro-RO"/>
        </w:rPr>
        <w:t>conducerea mijlocului de transport în stare de ebrietate</w:t>
      </w:r>
      <w:r w:rsidRPr="000C6E07">
        <w:rPr>
          <w:sz w:val="24"/>
          <w:szCs w:val="24"/>
          <w:lang w:val="ro-RO"/>
        </w:rPr>
        <w:t xml:space="preserve"> (art. 264</w:t>
      </w:r>
      <w:r w:rsidRPr="000C6E07">
        <w:rPr>
          <w:sz w:val="24"/>
          <w:szCs w:val="24"/>
          <w:vertAlign w:val="superscript"/>
          <w:lang w:val="ro-RO"/>
        </w:rPr>
        <w:t>1</w:t>
      </w:r>
      <w:r w:rsidRPr="000C6E07">
        <w:rPr>
          <w:sz w:val="24"/>
          <w:szCs w:val="24"/>
          <w:lang w:val="ro-RO"/>
        </w:rPr>
        <w:t xml:space="preserve"> Cod Penal) cu 14% din total și escrocheria (art. 190 Cod Penal) cu 12,2% din total. Alte tipuri de infracțiuni constituie mai puțin de 5% fiecare.</w:t>
      </w:r>
    </w:p>
    <w:p w14:paraId="714314C2" w14:textId="77777777" w:rsidR="000C6E07" w:rsidRPr="000C6E07" w:rsidRDefault="000C6E07" w:rsidP="000C6E07">
      <w:pPr>
        <w:spacing w:after="0"/>
        <w:ind w:firstLine="540"/>
        <w:jc w:val="both"/>
        <w:rPr>
          <w:sz w:val="24"/>
          <w:szCs w:val="24"/>
          <w:lang w:val="ro-RO"/>
        </w:rPr>
      </w:pPr>
      <w:r w:rsidRPr="000C6E07">
        <w:rPr>
          <w:noProof/>
          <w:lang w:val="ro-RO"/>
        </w:rPr>
        <w:lastRenderedPageBreak/>
        <w:drawing>
          <wp:inline distT="0" distB="0" distL="0" distR="0" wp14:anchorId="381409E8" wp14:editId="73CCEBBD">
            <wp:extent cx="5940425" cy="1800000"/>
            <wp:effectExtent l="0" t="0" r="3175" b="0"/>
            <wp:docPr id="2" name="Chart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805674" w14:textId="77777777" w:rsidR="000C6E07" w:rsidRPr="000C6E07" w:rsidRDefault="000C6E07" w:rsidP="000C6E07">
      <w:pPr>
        <w:spacing w:after="0"/>
        <w:ind w:firstLine="540"/>
        <w:jc w:val="center"/>
        <w:rPr>
          <w:i/>
          <w:sz w:val="24"/>
          <w:szCs w:val="24"/>
          <w:lang w:val="ro-RO" w:eastAsia="ro-RO"/>
        </w:rPr>
      </w:pPr>
      <w:r w:rsidRPr="000C6E07">
        <w:rPr>
          <w:b/>
          <w:sz w:val="24"/>
          <w:szCs w:val="24"/>
          <w:lang w:val="ro-RO" w:eastAsia="ro-RO"/>
        </w:rPr>
        <w:t>Figura 7.</w:t>
      </w:r>
      <w:r w:rsidRPr="000C6E07">
        <w:rPr>
          <w:i/>
          <w:sz w:val="24"/>
          <w:szCs w:val="24"/>
          <w:lang w:val="ro-RO" w:eastAsia="ro-RO"/>
        </w:rPr>
        <w:t xml:space="preserve"> Structura infracțiunilor înregistrate după categorii, 2024</w:t>
      </w:r>
    </w:p>
    <w:p w14:paraId="17818346" w14:textId="77777777" w:rsidR="000C6E07" w:rsidRPr="000C6E07" w:rsidRDefault="000C6E07" w:rsidP="000C6E07">
      <w:pPr>
        <w:spacing w:after="120"/>
        <w:ind w:firstLine="539"/>
        <w:jc w:val="center"/>
        <w:rPr>
          <w:i/>
          <w:sz w:val="24"/>
          <w:szCs w:val="24"/>
          <w:lang w:val="ro-RO" w:eastAsia="ro-RO"/>
        </w:rPr>
      </w:pPr>
      <w:r w:rsidRPr="000C6E07">
        <w:rPr>
          <w:b/>
          <w:sz w:val="24"/>
          <w:szCs w:val="24"/>
          <w:lang w:val="ro-RO" w:eastAsia="ro-RO"/>
        </w:rPr>
        <w:t>Sursa:</w:t>
      </w:r>
      <w:r w:rsidRPr="000C6E07">
        <w:rPr>
          <w:i/>
          <w:sz w:val="24"/>
          <w:szCs w:val="24"/>
          <w:lang w:val="ro-RO" w:eastAsia="ro-RO"/>
        </w:rPr>
        <w:t xml:space="preserve"> </w:t>
      </w:r>
      <w:r w:rsidRPr="000C6E07">
        <w:rPr>
          <w:i/>
          <w:sz w:val="24"/>
          <w:szCs w:val="24"/>
          <w:lang w:val="ro-RO"/>
        </w:rPr>
        <w:t>Biroul Național de Statistică</w:t>
      </w:r>
    </w:p>
    <w:p w14:paraId="5E95D3D1" w14:textId="4D045F28" w:rsidR="000C6E07" w:rsidRPr="000C6E07" w:rsidRDefault="000C6E07" w:rsidP="000C6E07">
      <w:pPr>
        <w:spacing w:after="0"/>
        <w:ind w:firstLine="540"/>
        <w:jc w:val="both"/>
        <w:rPr>
          <w:color w:val="0070C0"/>
          <w:sz w:val="24"/>
          <w:szCs w:val="24"/>
          <w:lang w:val="ro-RO"/>
        </w:rPr>
      </w:pPr>
      <w:r w:rsidRPr="000C6E07">
        <w:rPr>
          <w:sz w:val="24"/>
          <w:szCs w:val="24"/>
          <w:lang w:val="ro-RO"/>
        </w:rPr>
        <w:t xml:space="preserve">Una din principalele amenințări pentru siguranța la domiciliu sunt infracțiunile contra familiei și minorilor. </w:t>
      </w:r>
      <w:r w:rsidRPr="000C6E07">
        <w:rPr>
          <w:b/>
          <w:sz w:val="24"/>
          <w:szCs w:val="24"/>
          <w:lang w:val="ro-RO"/>
        </w:rPr>
        <w:t>Violența în familie continuă să fie un fenomen major,</w:t>
      </w:r>
      <w:r w:rsidRPr="000C6E07">
        <w:rPr>
          <w:sz w:val="24"/>
          <w:szCs w:val="24"/>
          <w:lang w:val="ro-RO"/>
        </w:rPr>
        <w:t xml:space="preserve"> care se manifestă prin abuz fizic, sexual, psihologic, spiritual sau economic. În 2024 au fost </w:t>
      </w:r>
      <w:r w:rsidRPr="00B63119">
        <w:rPr>
          <w:sz w:val="24"/>
          <w:szCs w:val="24"/>
          <w:lang w:val="ro-RO"/>
        </w:rPr>
        <w:t xml:space="preserve">înregistrate </w:t>
      </w:r>
      <w:r w:rsidR="0057401C" w:rsidRPr="00B63119">
        <w:rPr>
          <w:sz w:val="24"/>
          <w:szCs w:val="24"/>
          <w:lang w:val="ro-RO"/>
        </w:rPr>
        <w:t xml:space="preserve">1741 de contravenții </w:t>
      </w:r>
      <w:r w:rsidRPr="00B63119">
        <w:rPr>
          <w:sz w:val="24"/>
          <w:szCs w:val="24"/>
          <w:lang w:val="ro-RO"/>
        </w:rPr>
        <w:t>și 967 de infracțiuni de violență în familie</w:t>
      </w:r>
      <w:r w:rsidR="0057401C" w:rsidRPr="00B63119">
        <w:rPr>
          <w:sz w:val="24"/>
          <w:szCs w:val="24"/>
          <w:lang w:val="ro-RO"/>
        </w:rPr>
        <w:t xml:space="preserve">, ca urmare </w:t>
      </w:r>
      <w:r w:rsidR="00FC15AC" w:rsidRPr="00B63119">
        <w:rPr>
          <w:sz w:val="24"/>
          <w:szCs w:val="24"/>
          <w:lang w:val="ro-RO"/>
        </w:rPr>
        <w:t xml:space="preserve">fiind </w:t>
      </w:r>
      <w:r w:rsidR="0057401C" w:rsidRPr="00B63119">
        <w:rPr>
          <w:sz w:val="24"/>
          <w:szCs w:val="24"/>
          <w:lang w:val="ro-RO"/>
        </w:rPr>
        <w:t>constatate 33 de decese</w:t>
      </w:r>
      <w:r w:rsidRPr="00B63119">
        <w:rPr>
          <w:sz w:val="24"/>
          <w:szCs w:val="24"/>
          <w:lang w:val="ro-RO"/>
        </w:rPr>
        <w:t>. Victime</w:t>
      </w:r>
      <w:r w:rsidRPr="000C6E07">
        <w:rPr>
          <w:sz w:val="24"/>
          <w:szCs w:val="24"/>
          <w:lang w:val="ro-RO"/>
        </w:rPr>
        <w:t xml:space="preserve"> (preponderent femei și copii) ale infracțiunilor au fost 1575 persoane, iar ale contravențiilor 1741 de persoane. Poliția supraveghează ordonanțele de protecție emise pentru victimele violenței în familie, care s-au ridicat în 2024 la un număr record de 1104 ordonanțe.</w:t>
      </w:r>
      <w:r w:rsidRPr="000C6E07">
        <w:rPr>
          <w:rStyle w:val="aff3"/>
          <w:sz w:val="24"/>
          <w:szCs w:val="24"/>
          <w:lang w:val="ro-RO"/>
        </w:rPr>
        <w:footnoteReference w:id="4"/>
      </w:r>
      <w:r w:rsidRPr="000C6E07">
        <w:rPr>
          <w:color w:val="0070C0"/>
          <w:sz w:val="24"/>
          <w:szCs w:val="24"/>
          <w:lang w:val="ro-RO"/>
        </w:rPr>
        <w:t xml:space="preserve"> </w:t>
      </w:r>
    </w:p>
    <w:p w14:paraId="34EBEC64" w14:textId="77777777" w:rsidR="000C6E07" w:rsidRPr="000C6E07" w:rsidRDefault="000C6E07" w:rsidP="000C6E07">
      <w:pPr>
        <w:spacing w:after="0"/>
        <w:jc w:val="center"/>
        <w:rPr>
          <w:color w:val="0070C0"/>
          <w:sz w:val="24"/>
          <w:szCs w:val="24"/>
          <w:lang w:val="ro-RO"/>
        </w:rPr>
      </w:pPr>
      <w:r w:rsidRPr="000C6E07">
        <w:rPr>
          <w:noProof/>
          <w:lang w:val="ro-RO"/>
        </w:rPr>
        <w:drawing>
          <wp:inline distT="0" distB="0" distL="0" distR="0" wp14:anchorId="177C9611" wp14:editId="5B3B54A9">
            <wp:extent cx="5580000" cy="1548000"/>
            <wp:effectExtent l="0" t="0" r="1905" b="1460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D88EA5"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8.</w:t>
      </w:r>
      <w:r w:rsidRPr="000C6E07">
        <w:rPr>
          <w:i/>
          <w:sz w:val="24"/>
          <w:szCs w:val="24"/>
          <w:lang w:val="ro-RO"/>
        </w:rPr>
        <w:t xml:space="preserve"> Evoluția numărului anual de infracțiuni și contravenții de violență în familie</w:t>
      </w:r>
      <w:r w:rsidRPr="000C6E07">
        <w:rPr>
          <w:bCs/>
          <w:i/>
          <w:sz w:val="24"/>
          <w:szCs w:val="24"/>
          <w:lang w:val="ro-RO"/>
        </w:rPr>
        <w:t xml:space="preserve"> </w:t>
      </w:r>
    </w:p>
    <w:p w14:paraId="63E5335F" w14:textId="77777777" w:rsidR="000C6E07" w:rsidRPr="000C6E07" w:rsidRDefault="000C6E07" w:rsidP="000C6E07">
      <w:pPr>
        <w:spacing w:after="120"/>
        <w:ind w:firstLine="539"/>
        <w:jc w:val="center"/>
        <w:rPr>
          <w:color w:val="0070C0"/>
          <w:sz w:val="24"/>
          <w:szCs w:val="24"/>
          <w:lang w:val="ro-RO"/>
        </w:rPr>
      </w:pPr>
      <w:r w:rsidRPr="000C6E07">
        <w:rPr>
          <w:b/>
          <w:sz w:val="24"/>
          <w:szCs w:val="24"/>
          <w:lang w:val="ro-RO"/>
        </w:rPr>
        <w:t xml:space="preserve">Sursa: </w:t>
      </w:r>
      <w:r w:rsidRPr="000C6E07">
        <w:rPr>
          <w:i/>
          <w:sz w:val="24"/>
          <w:szCs w:val="24"/>
          <w:lang w:val="ro-RO"/>
        </w:rPr>
        <w:t>Nota informativă a IGP, Fenomenul violenței în familie pe parcursul anului 2024</w:t>
      </w:r>
    </w:p>
    <w:p w14:paraId="6AF09EC6" w14:textId="32BE6095" w:rsidR="000C6E07" w:rsidRPr="000C6E07" w:rsidRDefault="000C6E07" w:rsidP="000C6E07">
      <w:pPr>
        <w:spacing w:after="0"/>
        <w:ind w:firstLine="540"/>
        <w:jc w:val="both"/>
        <w:rPr>
          <w:color w:val="0070C0"/>
          <w:sz w:val="24"/>
          <w:szCs w:val="24"/>
          <w:lang w:val="ro-RO"/>
        </w:rPr>
      </w:pPr>
      <w:r w:rsidRPr="000C6E07">
        <w:rPr>
          <w:b/>
          <w:sz w:val="24"/>
          <w:szCs w:val="24"/>
          <w:lang w:val="ro-RO"/>
        </w:rPr>
        <w:t>O manifestare specifică a violenței în familie este violența psihologică adesea neglijată de autoritățile publice.</w:t>
      </w:r>
      <w:r w:rsidRPr="000C6E07">
        <w:rPr>
          <w:sz w:val="24"/>
          <w:szCs w:val="24"/>
          <w:lang w:val="ro-RO"/>
        </w:rPr>
        <w:t xml:space="preserve"> Conform Cercetării privind violența psihologică</w:t>
      </w:r>
      <w:r w:rsidRPr="000C6E07">
        <w:rPr>
          <w:rStyle w:val="aff3"/>
          <w:color w:val="0070C0"/>
          <w:sz w:val="24"/>
          <w:szCs w:val="24"/>
          <w:lang w:val="ro-RO"/>
        </w:rPr>
        <w:footnoteReference w:id="5"/>
      </w:r>
      <w:r w:rsidRPr="000C6E07">
        <w:rPr>
          <w:sz w:val="24"/>
          <w:szCs w:val="24"/>
          <w:lang w:val="ro-RO"/>
        </w:rPr>
        <w:t>, din 2025, o provocare semnificativă constă atitudin</w:t>
      </w:r>
      <w:r w:rsidR="00FC15AC">
        <w:rPr>
          <w:sz w:val="24"/>
          <w:szCs w:val="24"/>
          <w:lang w:val="ro-RO"/>
        </w:rPr>
        <w:t xml:space="preserve">ea </w:t>
      </w:r>
      <w:r w:rsidRPr="000C6E07">
        <w:rPr>
          <w:sz w:val="24"/>
          <w:szCs w:val="24"/>
          <w:lang w:val="ro-RO"/>
        </w:rPr>
        <w:t>și convingerile reprezentanților poliției care consideră violența domestică drept o problemă privată, care va duce în mod natural la reconciliere, descurajând astfel intervenția. Femeile care suferă de violență psihologică apelează adesea la ONG-uri specializate</w:t>
      </w:r>
      <w:r w:rsidR="00FC15AC">
        <w:rPr>
          <w:sz w:val="24"/>
          <w:szCs w:val="24"/>
          <w:lang w:val="ro-RO"/>
        </w:rPr>
        <w:t xml:space="preserve"> </w:t>
      </w:r>
      <w:r w:rsidRPr="000C6E07">
        <w:rPr>
          <w:sz w:val="24"/>
          <w:szCs w:val="24"/>
          <w:lang w:val="ro-RO"/>
        </w:rPr>
        <w:t>decât la instituții</w:t>
      </w:r>
      <w:r w:rsidR="00FC15AC">
        <w:rPr>
          <w:sz w:val="24"/>
          <w:szCs w:val="24"/>
          <w:lang w:val="ro-RO"/>
        </w:rPr>
        <w:t xml:space="preserve"> publice</w:t>
      </w:r>
      <w:r w:rsidRPr="000C6E07">
        <w:rPr>
          <w:sz w:val="24"/>
          <w:szCs w:val="24"/>
          <w:lang w:val="ro-RO"/>
        </w:rPr>
        <w:t xml:space="preserve">, deoarece, în cele mai multe cazuri, autoritățile din cadrul poliției și sistemul judiciar nu iau violența psihologică în serios. Această abordare contribuie la ineficiența intervențiilor, determinată atât de convingeri personale, cât și de deficiențe sistemice — cum ar fi sancțiunile neadecvate pentru agresori, lipsa instruirii specializate și subestimarea impactului violenței </w:t>
      </w:r>
      <w:r w:rsidRPr="00B63119">
        <w:rPr>
          <w:sz w:val="24"/>
          <w:szCs w:val="24"/>
          <w:lang w:val="ro-RO"/>
        </w:rPr>
        <w:t xml:space="preserve">psihologice. Se apreciază că în unele cazuri, intervenția ineficientă a </w:t>
      </w:r>
      <w:r w:rsidR="00FC15AC" w:rsidRPr="00B63119">
        <w:rPr>
          <w:sz w:val="24"/>
          <w:szCs w:val="24"/>
          <w:lang w:val="ro-RO"/>
        </w:rPr>
        <w:t>P</w:t>
      </w:r>
      <w:r w:rsidRPr="00B63119">
        <w:rPr>
          <w:sz w:val="24"/>
          <w:szCs w:val="24"/>
          <w:lang w:val="ro-RO"/>
        </w:rPr>
        <w:t xml:space="preserve">oliției poate chiar crește riscurile pentru </w:t>
      </w:r>
      <w:r w:rsidR="00FC15AC" w:rsidRPr="00B63119">
        <w:rPr>
          <w:sz w:val="24"/>
          <w:szCs w:val="24"/>
          <w:lang w:val="ro-RO"/>
        </w:rPr>
        <w:t>victimele violenței împotriva femeilor și violenței în familie.</w:t>
      </w:r>
      <w:r w:rsidRPr="000C6E07">
        <w:rPr>
          <w:sz w:val="24"/>
          <w:szCs w:val="24"/>
          <w:lang w:val="ro-RO"/>
        </w:rPr>
        <w:t xml:space="preserve"> </w:t>
      </w:r>
    </w:p>
    <w:p w14:paraId="2C07F4E9" w14:textId="77777777" w:rsidR="000C6E07" w:rsidRPr="000C6E07" w:rsidRDefault="000C6E07" w:rsidP="000C6E07">
      <w:pPr>
        <w:spacing w:after="0"/>
        <w:ind w:firstLine="540"/>
        <w:jc w:val="both"/>
        <w:rPr>
          <w:color w:val="0070C0"/>
          <w:sz w:val="24"/>
          <w:szCs w:val="24"/>
          <w:lang w:val="ro-RO"/>
        </w:rPr>
      </w:pPr>
      <w:r w:rsidRPr="000C6E07">
        <w:rPr>
          <w:sz w:val="24"/>
          <w:szCs w:val="24"/>
          <w:lang w:val="ro-RO"/>
        </w:rPr>
        <w:t xml:space="preserve">În 2023 a fost lansat Centrul de Justiție Familială al Poliției (finanțat de Ambasada SUA în Moldova) – un serviciu integrat destinat sprijinirii victimelor violenței în familie și sexuale. Deocamdată acesta rămâne un proiect singular, fără extindere în alte regiuni ale Republicii Moldova. Totodată, IGP a aprobat Instrucțiuni metodice noi pentru intervenția în cazurile de violență în familie, axate pe îmbunătățirea capacităților de constatare, evaluare a riscurilor și organizarea instruirilor interinstituționale în vederea unei intervenții coordonate. </w:t>
      </w:r>
    </w:p>
    <w:p w14:paraId="484B6689" w14:textId="5DBD3649" w:rsidR="000C6E07" w:rsidRPr="000C6E07" w:rsidRDefault="000C6E07" w:rsidP="000C6E07">
      <w:pPr>
        <w:spacing w:after="0"/>
        <w:ind w:firstLine="540"/>
        <w:jc w:val="both"/>
        <w:rPr>
          <w:rFonts w:eastAsia="Calibri"/>
          <w:sz w:val="24"/>
          <w:szCs w:val="24"/>
          <w:lang w:val="ro-RO"/>
        </w:rPr>
      </w:pPr>
      <w:r w:rsidRPr="000C6E07">
        <w:rPr>
          <w:rFonts w:eastAsia="Calibri"/>
          <w:sz w:val="24"/>
          <w:szCs w:val="24"/>
          <w:lang w:val="ro-RO"/>
        </w:rPr>
        <w:t xml:space="preserve">În spațiile de trai, problemele de ordine și securitate publică apar frecvent din cauza încălcării regulilor de conviețuire, cum ar fi folosirea abuzivă a locuinței, tulburarea liniștii, neglijența în întreținerea </w:t>
      </w:r>
      <w:r w:rsidRPr="000C6E07">
        <w:rPr>
          <w:rFonts w:eastAsia="Calibri"/>
          <w:sz w:val="24"/>
          <w:szCs w:val="24"/>
          <w:lang w:val="ro-RO"/>
        </w:rPr>
        <w:lastRenderedPageBreak/>
        <w:t xml:space="preserve">animalelor de companie, condițiile insalubre sau formarea de spelunci. </w:t>
      </w:r>
      <w:r w:rsidRPr="000C6E07">
        <w:rPr>
          <w:rFonts w:eastAsia="Calibri"/>
          <w:b/>
          <w:sz w:val="24"/>
          <w:szCs w:val="24"/>
          <w:lang w:val="ro-RO"/>
        </w:rPr>
        <w:t>Consumul de alcool și droguri este un factor agravant major, care poate declanșa comportamente agresive și pune în pericol siguranța locatarilor</w:t>
      </w:r>
      <w:r w:rsidRPr="000C6E07">
        <w:rPr>
          <w:rFonts w:eastAsia="Calibri"/>
          <w:sz w:val="24"/>
          <w:szCs w:val="24"/>
          <w:lang w:val="ro-RO"/>
        </w:rPr>
        <w:t>. În primele 5 luni ale anului 2025, infracțiunile de circulație ilegală a drogurilor cu (art. 217</w:t>
      </w:r>
      <w:r w:rsidRPr="000C6E07">
        <w:rPr>
          <w:rFonts w:eastAsia="Calibri"/>
          <w:sz w:val="24"/>
          <w:szCs w:val="24"/>
          <w:vertAlign w:val="superscript"/>
          <w:lang w:val="ro-RO"/>
        </w:rPr>
        <w:t>1</w:t>
      </w:r>
      <w:r w:rsidRPr="000C6E07">
        <w:rPr>
          <w:rFonts w:eastAsia="Calibri"/>
          <w:sz w:val="24"/>
          <w:szCs w:val="24"/>
          <w:lang w:val="ro-RO"/>
        </w:rPr>
        <w:t xml:space="preserve"> Cod Penal) și fără scop (art. 217 Cod Penal) de înstrăinare au avut printre cele mai mari creșteri numerice comparativ cu perioada anterioară. În anii 2024-2025, Comisia Națională Antidrog, condusă de MAI a demarat o strategie complexă, axată pe alinierea legislativă, dezvoltarea alertelor timpurii, prevenție și reabilitare, cooperări naționale și internaționale, </w:t>
      </w:r>
      <w:r w:rsidR="00FC15AC" w:rsidRPr="00B63119">
        <w:rPr>
          <w:rFonts w:eastAsia="Calibri"/>
          <w:sz w:val="24"/>
          <w:szCs w:val="24"/>
          <w:lang w:val="ro-RO"/>
        </w:rPr>
        <w:t xml:space="preserve">precum și </w:t>
      </w:r>
      <w:r w:rsidRPr="00B63119">
        <w:rPr>
          <w:rFonts w:eastAsia="Calibri"/>
          <w:sz w:val="24"/>
          <w:szCs w:val="24"/>
          <w:lang w:val="ro-RO"/>
        </w:rPr>
        <w:t>examinarea</w:t>
      </w:r>
      <w:r w:rsidRPr="000C6E07">
        <w:rPr>
          <w:rFonts w:eastAsia="Calibri"/>
          <w:sz w:val="24"/>
          <w:szCs w:val="24"/>
          <w:lang w:val="ro-RO"/>
        </w:rPr>
        <w:t xml:space="preserve"> oportunității de creare a unei entități specializate pentru coordonarea politicii antidrog și operațiuni anti-trafic cu scopul de prevenire și combatere a consumului și traficului de droguri. Recent, mecanismul de referire pentru tratament și reabilitare a persoanelor consumatoare de droguri a fost extins prin includerea a cinci noi puncte de farmacoterapie cu agonizanți </w:t>
      </w:r>
      <w:proofErr w:type="spellStart"/>
      <w:r w:rsidRPr="000C6E07">
        <w:rPr>
          <w:rFonts w:eastAsia="Calibri"/>
          <w:sz w:val="24"/>
          <w:szCs w:val="24"/>
          <w:lang w:val="ro-RO"/>
        </w:rPr>
        <w:t>opioizi</w:t>
      </w:r>
      <w:proofErr w:type="spellEnd"/>
      <w:r w:rsidRPr="000C6E07">
        <w:rPr>
          <w:rFonts w:eastAsia="Calibri"/>
          <w:sz w:val="24"/>
          <w:szCs w:val="24"/>
          <w:lang w:val="ro-RO"/>
        </w:rPr>
        <w:t xml:space="preserve"> în schema de referire.</w:t>
      </w:r>
    </w:p>
    <w:p w14:paraId="0FA97216" w14:textId="3EA5E8CC" w:rsidR="000C6E07" w:rsidRPr="000C6E07" w:rsidRDefault="000C6E07" w:rsidP="000C6E07">
      <w:pPr>
        <w:spacing w:after="0"/>
        <w:ind w:firstLine="540"/>
        <w:jc w:val="both"/>
        <w:rPr>
          <w:sz w:val="24"/>
          <w:szCs w:val="20"/>
          <w:lang w:val="ro-RO"/>
        </w:rPr>
      </w:pPr>
      <w:r w:rsidRPr="000C6E07">
        <w:rPr>
          <w:rFonts w:eastAsia="Calibri"/>
          <w:b/>
          <w:sz w:val="24"/>
          <w:szCs w:val="20"/>
          <w:lang w:val="ro-RO"/>
        </w:rPr>
        <w:t xml:space="preserve">Fenomenul </w:t>
      </w:r>
      <w:proofErr w:type="spellStart"/>
      <w:r w:rsidRPr="000C6E07">
        <w:rPr>
          <w:rFonts w:eastAsia="Calibri"/>
          <w:b/>
          <w:sz w:val="24"/>
          <w:szCs w:val="20"/>
          <w:lang w:val="ro-RO"/>
        </w:rPr>
        <w:t>bullying</w:t>
      </w:r>
      <w:proofErr w:type="spellEnd"/>
      <w:r w:rsidRPr="000C6E07">
        <w:rPr>
          <w:rFonts w:eastAsia="Calibri"/>
          <w:b/>
          <w:sz w:val="24"/>
          <w:szCs w:val="20"/>
          <w:lang w:val="ro-RO"/>
        </w:rPr>
        <w:t>-ului este o problemă gravă și persistentă, reflectată atât în datele oficiale raportate de autorități, cât și în percepțiile elevilor.</w:t>
      </w:r>
      <w:r w:rsidRPr="000C6E07">
        <w:rPr>
          <w:rFonts w:eastAsia="Calibri"/>
          <w:sz w:val="24"/>
          <w:szCs w:val="20"/>
          <w:lang w:val="ro-RO"/>
        </w:rPr>
        <w:t xml:space="preserve"> În ultimii ani, amploarea acestui fenomen a devenit mai vizibilă, ceea ce evidențiază necesitatea unor măsuri coerente și coordonate de prevenire și intervenție.</w:t>
      </w:r>
      <w:r w:rsidRPr="000C6E07">
        <w:rPr>
          <w:lang w:val="ro-RO"/>
        </w:rPr>
        <w:t xml:space="preserve"> </w:t>
      </w:r>
      <w:r w:rsidRPr="000C6E07">
        <w:rPr>
          <w:rFonts w:eastAsia="Calibri"/>
          <w:sz w:val="24"/>
          <w:szCs w:val="20"/>
          <w:lang w:val="ro-RO"/>
        </w:rPr>
        <w:t xml:space="preserve">Ministerul Educației și Cercetării (MEC) a raportat în prima jumătate a anului școlar 2023–2024 un total de 3 821 de cazuri suspecte de violență asupra copilului în școli sau comunități, dintre care 488 reprezintă cazuri de </w:t>
      </w:r>
      <w:proofErr w:type="spellStart"/>
      <w:r w:rsidRPr="000C6E07">
        <w:rPr>
          <w:rFonts w:eastAsia="Calibri"/>
          <w:sz w:val="24"/>
          <w:szCs w:val="20"/>
          <w:lang w:val="ro-RO"/>
        </w:rPr>
        <w:t>bullying</w:t>
      </w:r>
      <w:proofErr w:type="spellEnd"/>
      <w:r w:rsidRPr="000C6E07">
        <w:rPr>
          <w:rStyle w:val="aff3"/>
          <w:sz w:val="24"/>
          <w:szCs w:val="20"/>
          <w:lang w:val="ro-RO"/>
        </w:rPr>
        <w:footnoteReference w:id="6"/>
      </w:r>
      <w:r w:rsidRPr="000C6E07">
        <w:rPr>
          <w:rFonts w:eastAsia="Calibri"/>
          <w:sz w:val="24"/>
          <w:szCs w:val="20"/>
          <w:lang w:val="ro-RO"/>
        </w:rPr>
        <w:t xml:space="preserve">. </w:t>
      </w:r>
      <w:r w:rsidRPr="000C6E07">
        <w:rPr>
          <w:sz w:val="24"/>
          <w:szCs w:val="20"/>
          <w:lang w:val="ro-RO"/>
        </w:rPr>
        <w:t xml:space="preserve">În anul calendaristic 2023 s-au înregistrat </w:t>
      </w:r>
      <w:r w:rsidRPr="000C6E07">
        <w:rPr>
          <w:bCs/>
          <w:sz w:val="24"/>
          <w:szCs w:val="20"/>
          <w:lang w:val="ro-RO"/>
        </w:rPr>
        <w:t>1 086</w:t>
      </w:r>
      <w:r w:rsidRPr="000C6E07">
        <w:rPr>
          <w:sz w:val="24"/>
          <w:szCs w:val="20"/>
          <w:lang w:val="ro-RO"/>
        </w:rPr>
        <w:t xml:space="preserve"> cazuri de </w:t>
      </w:r>
      <w:proofErr w:type="spellStart"/>
      <w:r w:rsidRPr="000C6E07">
        <w:rPr>
          <w:sz w:val="24"/>
          <w:szCs w:val="20"/>
          <w:lang w:val="ro-RO"/>
        </w:rPr>
        <w:t>bullying</w:t>
      </w:r>
      <w:proofErr w:type="spellEnd"/>
      <w:r w:rsidRPr="000C6E07">
        <w:rPr>
          <w:sz w:val="24"/>
          <w:szCs w:val="20"/>
          <w:lang w:val="ro-RO"/>
        </w:rPr>
        <w:t xml:space="preserve">, reprezentând aproximativ 13% din totalul de 8 315 cazuri suspecte de abuz în școli, iar în anul 2024, numărul acestora a crescut la </w:t>
      </w:r>
      <w:r w:rsidRPr="000C6E07">
        <w:rPr>
          <w:bCs/>
          <w:sz w:val="24"/>
          <w:szCs w:val="20"/>
          <w:lang w:val="ro-RO"/>
        </w:rPr>
        <w:t>1 200</w:t>
      </w:r>
      <w:r w:rsidRPr="000C6E07">
        <w:rPr>
          <w:sz w:val="24"/>
          <w:szCs w:val="20"/>
          <w:lang w:val="ro-RO"/>
        </w:rPr>
        <w:t xml:space="preserve"> din totalul de 7 977 de cazuri suspecte, echivalând tot cu circa 15% din total.</w:t>
      </w:r>
      <w:r w:rsidRPr="000C6E07">
        <w:rPr>
          <w:rStyle w:val="aff3"/>
          <w:sz w:val="24"/>
          <w:szCs w:val="20"/>
          <w:lang w:val="ro-RO"/>
        </w:rPr>
        <w:footnoteReference w:id="7"/>
      </w:r>
      <w:r w:rsidRPr="000C6E07">
        <w:rPr>
          <w:sz w:val="24"/>
          <w:szCs w:val="20"/>
          <w:lang w:val="ro-RO"/>
        </w:rPr>
        <w:t xml:space="preserve"> Conform </w:t>
      </w:r>
      <w:r w:rsidRPr="00B63119">
        <w:rPr>
          <w:sz w:val="24"/>
          <w:szCs w:val="20"/>
          <w:lang w:val="ro-RO"/>
        </w:rPr>
        <w:t>studiului KAP</w:t>
      </w:r>
      <w:r w:rsidR="00B63119" w:rsidRPr="00B63119">
        <w:rPr>
          <w:sz w:val="24"/>
          <w:szCs w:val="20"/>
          <w:lang w:val="ro-RO"/>
        </w:rPr>
        <w:t xml:space="preserve"> ,,Cunoștințe, Atitudini, Practici” </w:t>
      </w:r>
      <w:r w:rsidRPr="00B63119">
        <w:rPr>
          <w:sz w:val="24"/>
          <w:szCs w:val="20"/>
          <w:lang w:val="ro-RO"/>
        </w:rPr>
        <w:t xml:space="preserve"> realizat de Magenta Consulting în 2023,</w:t>
      </w:r>
      <w:r w:rsidRPr="000C6E07">
        <w:rPr>
          <w:sz w:val="24"/>
          <w:szCs w:val="20"/>
          <w:lang w:val="ro-RO"/>
        </w:rPr>
        <w:t xml:space="preserve"> 21% dintre elevii din clasele V–XII au fost victime ale </w:t>
      </w:r>
      <w:proofErr w:type="spellStart"/>
      <w:r w:rsidRPr="000C6E07">
        <w:rPr>
          <w:sz w:val="24"/>
          <w:szCs w:val="20"/>
          <w:lang w:val="ro-RO"/>
        </w:rPr>
        <w:t>bullying</w:t>
      </w:r>
      <w:proofErr w:type="spellEnd"/>
      <w:r w:rsidRPr="000C6E07">
        <w:rPr>
          <w:sz w:val="24"/>
          <w:szCs w:val="20"/>
          <w:lang w:val="ro-RO"/>
        </w:rPr>
        <w:t xml:space="preserve">-ului săptămânal, iar </w:t>
      </w:r>
      <w:r w:rsidRPr="000C6E07">
        <w:rPr>
          <w:bCs/>
          <w:sz w:val="24"/>
          <w:szCs w:val="20"/>
          <w:lang w:val="ro-RO"/>
        </w:rPr>
        <w:t>a</w:t>
      </w:r>
      <w:r w:rsidRPr="000C6E07">
        <w:rPr>
          <w:sz w:val="24"/>
          <w:szCs w:val="20"/>
          <w:lang w:val="ro-RO"/>
        </w:rPr>
        <w:t>prox</w:t>
      </w:r>
      <w:r w:rsidRPr="000C6E07">
        <w:rPr>
          <w:bCs/>
          <w:sz w:val="24"/>
          <w:szCs w:val="20"/>
          <w:lang w:val="ro-RO"/>
        </w:rPr>
        <w:t xml:space="preserve">imativ </w:t>
      </w:r>
      <w:r w:rsidRPr="000C6E07">
        <w:rPr>
          <w:sz w:val="24"/>
          <w:szCs w:val="20"/>
          <w:lang w:val="ro-RO"/>
        </w:rPr>
        <w:t>40% au întâmpinat acest fenomen ocazional; formele predominante sunt cele verbale și relaționale (54%), urmate de 46% în formă fizică</w:t>
      </w:r>
      <w:r w:rsidRPr="000C6E07">
        <w:rPr>
          <w:sz w:val="24"/>
          <w:szCs w:val="20"/>
          <w:vertAlign w:val="superscript"/>
          <w:lang w:val="ro-RO"/>
        </w:rPr>
        <w:footnoteReference w:id="8"/>
      </w:r>
      <w:r w:rsidRPr="000C6E07">
        <w:rPr>
          <w:sz w:val="24"/>
          <w:szCs w:val="20"/>
          <w:lang w:val="ro-RO"/>
        </w:rPr>
        <w:t>.</w:t>
      </w:r>
    </w:p>
    <w:p w14:paraId="728A6113" w14:textId="6C58C0CC" w:rsidR="000C6E07" w:rsidRPr="000C6E07" w:rsidRDefault="000C6E07" w:rsidP="000C6E07">
      <w:pPr>
        <w:spacing w:after="0"/>
        <w:ind w:firstLine="540"/>
        <w:jc w:val="both"/>
        <w:rPr>
          <w:lang w:val="ro-RO"/>
        </w:rPr>
      </w:pPr>
      <w:r w:rsidRPr="000C6E07">
        <w:rPr>
          <w:sz w:val="24"/>
          <w:szCs w:val="24"/>
          <w:lang w:val="ro-RO"/>
        </w:rPr>
        <w:t xml:space="preserve">Deși responsabilitatea principală pentru prevenirea și combaterea fenomenului de </w:t>
      </w:r>
      <w:proofErr w:type="spellStart"/>
      <w:r w:rsidRPr="000C6E07">
        <w:rPr>
          <w:sz w:val="24"/>
          <w:szCs w:val="24"/>
          <w:lang w:val="ro-RO"/>
        </w:rPr>
        <w:t>bullying</w:t>
      </w:r>
      <w:proofErr w:type="spellEnd"/>
      <w:r w:rsidRPr="000C6E07">
        <w:rPr>
          <w:sz w:val="24"/>
          <w:szCs w:val="24"/>
          <w:lang w:val="ro-RO"/>
        </w:rPr>
        <w:t xml:space="preserve"> în Republica Moldova revine sistemului educațional și autorităților pentru protecția copilului, rolul Poliției este complementar și esențial în gestionarea cazurilor. Poliția intervine în situațiile care escaladează spre violență, amenințări sau alte infracțiuni și deschide cercetări acolo unde faptele comise intră sub incidența legii penale. În spațiile publice sau la evenimente cu implicarea minorilor, carabinierii și </w:t>
      </w:r>
      <w:r w:rsidR="00FC15AC">
        <w:rPr>
          <w:sz w:val="24"/>
          <w:szCs w:val="24"/>
          <w:lang w:val="ro-RO"/>
        </w:rPr>
        <w:t>P</w:t>
      </w:r>
      <w:r w:rsidRPr="000C6E07">
        <w:rPr>
          <w:sz w:val="24"/>
          <w:szCs w:val="24"/>
          <w:lang w:val="ro-RO"/>
        </w:rPr>
        <w:t xml:space="preserve">oliția asigură ordinea și siguranța participanților. Totodată, colaborează cu instituțiile de învățământ, Ministerul Educației și Cercetări, sprijinind implementarea politicilor publice în domeniu. Poliția mai contribuie la creșterea conștientizării comunității privind riscurile </w:t>
      </w:r>
      <w:proofErr w:type="spellStart"/>
      <w:r w:rsidRPr="000C6E07">
        <w:rPr>
          <w:sz w:val="24"/>
          <w:szCs w:val="24"/>
          <w:lang w:val="ro-RO"/>
        </w:rPr>
        <w:t>bullying</w:t>
      </w:r>
      <w:proofErr w:type="spellEnd"/>
      <w:r w:rsidRPr="000C6E07">
        <w:rPr>
          <w:sz w:val="24"/>
          <w:szCs w:val="24"/>
          <w:lang w:val="ro-RO"/>
        </w:rPr>
        <w:t xml:space="preserve">-ului prin acțiuni de informare și educație. </w:t>
      </w:r>
      <w:bookmarkStart w:id="1" w:name="_Hlk203567076"/>
      <w:r w:rsidR="00B63119" w:rsidRPr="00B63119">
        <w:rPr>
          <w:sz w:val="24"/>
          <w:szCs w:val="24"/>
          <w:lang w:val="ro-RO"/>
        </w:rPr>
        <w:t>Comisia Europeană împotriva Rasismului și Intoleranței (</w:t>
      </w:r>
      <w:r w:rsidRPr="00B63119">
        <w:rPr>
          <w:sz w:val="24"/>
          <w:szCs w:val="24"/>
          <w:lang w:val="ro-RO"/>
        </w:rPr>
        <w:t>ECRI</w:t>
      </w:r>
      <w:r w:rsidR="00B63119" w:rsidRPr="00B63119">
        <w:rPr>
          <w:sz w:val="24"/>
          <w:szCs w:val="24"/>
          <w:lang w:val="ro-RO"/>
        </w:rPr>
        <w:t>)</w:t>
      </w:r>
      <w:bookmarkEnd w:id="1"/>
      <w:r w:rsidRPr="000C6E07">
        <w:rPr>
          <w:sz w:val="24"/>
          <w:szCs w:val="24"/>
          <w:lang w:val="ro-RO"/>
        </w:rPr>
        <w:t xml:space="preserve"> recomandă autorităților să colecteze date dezagregate în funcție de gen privind incidentele rasiste și anti-LGBTI din școli, inclusiv cu privire la motivele specifice comportamentului de </w:t>
      </w:r>
      <w:proofErr w:type="spellStart"/>
      <w:r w:rsidRPr="000C6E07">
        <w:rPr>
          <w:sz w:val="24"/>
          <w:szCs w:val="24"/>
          <w:lang w:val="ro-RO"/>
        </w:rPr>
        <w:t>bullying</w:t>
      </w:r>
      <w:proofErr w:type="spellEnd"/>
      <w:r w:rsidRPr="000C6E07">
        <w:rPr>
          <w:sz w:val="24"/>
          <w:szCs w:val="24"/>
          <w:lang w:val="ro-RO"/>
        </w:rPr>
        <w:t xml:space="preserve">. Astfel, de date ar trebui să servească drept bază pentru elaborarea unor răspunsuri mai bine direcționate la </w:t>
      </w:r>
      <w:proofErr w:type="spellStart"/>
      <w:r w:rsidRPr="000C6E07">
        <w:rPr>
          <w:sz w:val="24"/>
          <w:szCs w:val="24"/>
          <w:lang w:val="ro-RO"/>
        </w:rPr>
        <w:t>bullying-ul</w:t>
      </w:r>
      <w:proofErr w:type="spellEnd"/>
      <w:r w:rsidRPr="000C6E07">
        <w:rPr>
          <w:sz w:val="24"/>
          <w:szCs w:val="24"/>
          <w:lang w:val="ro-RO"/>
        </w:rPr>
        <w:t xml:space="preserve"> din școli, inclusiv campanii suplimentare de prevenire a </w:t>
      </w:r>
      <w:proofErr w:type="spellStart"/>
      <w:r w:rsidRPr="000C6E07">
        <w:rPr>
          <w:sz w:val="24"/>
          <w:szCs w:val="24"/>
          <w:lang w:val="ro-RO"/>
        </w:rPr>
        <w:t>bullying</w:t>
      </w:r>
      <w:proofErr w:type="spellEnd"/>
      <w:r w:rsidRPr="000C6E07">
        <w:rPr>
          <w:sz w:val="24"/>
          <w:szCs w:val="24"/>
          <w:lang w:val="ro-RO"/>
        </w:rPr>
        <w:t>-ului și cursuri de formare pentru profesori și alți specialiști care lucrează cu copiii în școli.</w:t>
      </w:r>
    </w:p>
    <w:p w14:paraId="41BB00C0" w14:textId="77777777" w:rsidR="000C6E07" w:rsidRPr="000C6E07" w:rsidRDefault="000C6E07" w:rsidP="000C6E07">
      <w:pPr>
        <w:spacing w:before="240" w:after="0"/>
        <w:ind w:firstLine="540"/>
        <w:jc w:val="center"/>
        <w:rPr>
          <w:b/>
          <w:sz w:val="24"/>
          <w:szCs w:val="24"/>
          <w:lang w:val="ro-RO"/>
        </w:rPr>
      </w:pPr>
      <w:r w:rsidRPr="000C6E07">
        <w:rPr>
          <w:b/>
          <w:sz w:val="24"/>
          <w:szCs w:val="24"/>
          <w:lang w:val="ro-RO"/>
        </w:rPr>
        <w:t>Instituțiile de ordine și securitate publică și provocările cu care se confruntă</w:t>
      </w:r>
    </w:p>
    <w:p w14:paraId="3E18A07D" w14:textId="6731ACFA" w:rsidR="000C6E07" w:rsidRPr="000C6E07" w:rsidRDefault="000C6E07" w:rsidP="000C6E07">
      <w:pPr>
        <w:spacing w:after="0"/>
        <w:ind w:firstLine="540"/>
        <w:jc w:val="both"/>
        <w:rPr>
          <w:sz w:val="24"/>
          <w:szCs w:val="24"/>
          <w:lang w:val="ro-RO" w:eastAsia="ro-RO"/>
        </w:rPr>
      </w:pPr>
      <w:r w:rsidRPr="000C6E07">
        <w:rPr>
          <w:sz w:val="24"/>
          <w:szCs w:val="24"/>
          <w:lang w:val="ro-RO"/>
        </w:rPr>
        <w:t>Principalele instituții ale Ministerului Afacerilor Interne responsabile de ordinea și securitatea publică (în continuare</w:t>
      </w:r>
      <w:r w:rsidRPr="000C6E07">
        <w:rPr>
          <w:i/>
          <w:sz w:val="24"/>
          <w:szCs w:val="24"/>
          <w:lang w:val="ro-RO"/>
        </w:rPr>
        <w:t xml:space="preserve"> – OSP)</w:t>
      </w:r>
      <w:r w:rsidRPr="000C6E07">
        <w:rPr>
          <w:sz w:val="24"/>
          <w:szCs w:val="24"/>
          <w:lang w:val="ro-RO"/>
        </w:rPr>
        <w:t xml:space="preserve"> sunt Poliția și Carabinierii, ca structuri de suport, organizate în subdiviziuni distincte: Inspectoratul General al Poliției (cu subdiviziunea Inspectoratul Național de Securitate Publică</w:t>
      </w:r>
      <w:r w:rsidR="00FC15AC">
        <w:rPr>
          <w:sz w:val="24"/>
          <w:szCs w:val="24"/>
          <w:lang w:val="ro-RO"/>
        </w:rPr>
        <w:t xml:space="preserve"> în continuare - INSP</w:t>
      </w:r>
      <w:r w:rsidRPr="000C6E07">
        <w:rPr>
          <w:sz w:val="24"/>
          <w:szCs w:val="24"/>
          <w:lang w:val="ro-RO"/>
        </w:rPr>
        <w:t xml:space="preserve">) și Inspectoratul General de Carabinieri. O altă structură în subordinea MAI, cu atribuții de management și coordonare în domeniul OSP este Inspectoratul de Management Operațional. </w:t>
      </w:r>
      <w:r w:rsidRPr="000C6E07">
        <w:rPr>
          <w:sz w:val="24"/>
          <w:szCs w:val="24"/>
          <w:lang w:val="ro-RO" w:eastAsia="ro-RO"/>
        </w:rPr>
        <w:t xml:space="preserve">Efectivul total antrenat în prestarea serviciilor de ordine și securitate publică este compus din peste 1050 de polițiști din cadrul Inspectoratului Național de Securitate Publică, peste 5300 de angajați ai Inspectoratelor de Poliție și circa 1000 de carabinieri. </w:t>
      </w:r>
      <w:r w:rsidRPr="000C6E07">
        <w:rPr>
          <w:sz w:val="24"/>
          <w:lang w:val="ro-RO"/>
        </w:rPr>
        <w:t xml:space="preserve">Aceste instituții utilizează un ansamblu divers de instrumente și metode, </w:t>
      </w:r>
      <w:r w:rsidRPr="000C6E07">
        <w:rPr>
          <w:sz w:val="24"/>
          <w:lang w:val="ro-RO"/>
        </w:rPr>
        <w:lastRenderedPageBreak/>
        <w:t>adaptate specificului atribuțiilor lor, pentru exercitarea competențelor, structurate conceptual pe trei dimensiuni distincte: menținerea, asigurarea și restabilirea ordinii publice.</w:t>
      </w:r>
      <w:r w:rsidRPr="000C6E07">
        <w:rPr>
          <w:sz w:val="24"/>
          <w:szCs w:val="24"/>
          <w:lang w:val="ro-RO" w:eastAsia="ro-RO"/>
        </w:rPr>
        <w:t xml:space="preserve"> Activități specifice polițienești pe care le practică aceste structuri includ patrularea, organizarea și desfășurarea raziilor, constatarea contravențiilor, reacționarea la apelurile de urgență, menținerea, asigurarea și restabilirea ordinii publice în cadrul evenimentelor publice, activități de investigație și suport pentru urmărirea penală, precum și activități de informare, sensibilizare și educare, comunicare cu populația și colaborare cu alte instituții publice. Suplimentar, carabinierii au atribuții privind paza și protecția misiunilor diplomatice, numărul cărora a crescut cu 26% față de anul 2021. În 2024, carabinierii au asigurat paza și protecția 24/24 de ore a 59 de obiective diplomatice, din care 24 de sedii prin posturi staționare și patrulări auto, iar 35 de sedii doar prin patrulări auto.</w:t>
      </w:r>
    </w:p>
    <w:p w14:paraId="51D1B3FA" w14:textId="77777777" w:rsidR="000C6E07" w:rsidRPr="000C6E07" w:rsidRDefault="000C6E07" w:rsidP="000C6E07">
      <w:pPr>
        <w:spacing w:after="0"/>
        <w:jc w:val="center"/>
        <w:rPr>
          <w:sz w:val="24"/>
          <w:szCs w:val="24"/>
          <w:lang w:val="ro-RO"/>
        </w:rPr>
      </w:pPr>
      <w:r w:rsidRPr="000C6E07">
        <w:rPr>
          <w:noProof/>
          <w:sz w:val="24"/>
          <w:szCs w:val="24"/>
          <w:lang w:val="ro-RO"/>
        </w:rPr>
        <w:drawing>
          <wp:inline distT="0" distB="0" distL="0" distR="0" wp14:anchorId="0AE3E6F6" wp14:editId="4807023B">
            <wp:extent cx="5743009" cy="18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3009" cy="1872000"/>
                    </a:xfrm>
                    <a:prstGeom prst="rect">
                      <a:avLst/>
                    </a:prstGeom>
                  </pic:spPr>
                </pic:pic>
              </a:graphicData>
            </a:graphic>
          </wp:inline>
        </w:drawing>
      </w:r>
    </w:p>
    <w:p w14:paraId="74F24C1E"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9.</w:t>
      </w:r>
      <w:r w:rsidRPr="000C6E07">
        <w:rPr>
          <w:i/>
          <w:sz w:val="24"/>
          <w:szCs w:val="24"/>
          <w:lang w:val="ro-RO"/>
        </w:rPr>
        <w:t xml:space="preserve"> Numărul și tipul de obiective diplomatice protejate de carabinieri</w:t>
      </w:r>
      <w:r w:rsidRPr="000C6E07">
        <w:rPr>
          <w:bCs/>
          <w:i/>
          <w:sz w:val="24"/>
          <w:szCs w:val="24"/>
          <w:lang w:val="ro-RO"/>
        </w:rPr>
        <w:t xml:space="preserve"> </w:t>
      </w:r>
    </w:p>
    <w:p w14:paraId="0E5F13FC" w14:textId="77777777" w:rsidR="000C6E07" w:rsidRPr="000C6E07" w:rsidRDefault="000C6E07" w:rsidP="000C6E07">
      <w:pPr>
        <w:spacing w:after="120"/>
        <w:ind w:firstLine="539"/>
        <w:jc w:val="center"/>
        <w:rPr>
          <w:sz w:val="24"/>
          <w:szCs w:val="24"/>
          <w:lang w:val="ro-RO"/>
        </w:rPr>
      </w:pPr>
      <w:r w:rsidRPr="000C6E07">
        <w:rPr>
          <w:b/>
          <w:sz w:val="24"/>
          <w:szCs w:val="24"/>
          <w:lang w:val="ro-RO"/>
        </w:rPr>
        <w:t xml:space="preserve">Sursa: </w:t>
      </w:r>
      <w:r w:rsidRPr="000C6E07">
        <w:rPr>
          <w:i/>
          <w:sz w:val="24"/>
          <w:szCs w:val="24"/>
          <w:lang w:val="ro-RO"/>
        </w:rPr>
        <w:t>Inspectoratul general de Carabinieri (2024)</w:t>
      </w:r>
    </w:p>
    <w:p w14:paraId="708E7267" w14:textId="7B23B73C" w:rsidR="000C6E07" w:rsidRPr="000C6E07" w:rsidRDefault="000C6E07" w:rsidP="000C6E07">
      <w:pPr>
        <w:spacing w:after="0"/>
        <w:ind w:firstLine="540"/>
        <w:jc w:val="both"/>
        <w:rPr>
          <w:rFonts w:eastAsia="Calibri"/>
          <w:sz w:val="24"/>
          <w:szCs w:val="24"/>
          <w:lang w:val="ro-RO"/>
        </w:rPr>
      </w:pPr>
      <w:r w:rsidRPr="000C6E07">
        <w:rPr>
          <w:rFonts w:eastAsia="Calibri"/>
          <w:b/>
          <w:sz w:val="24"/>
          <w:szCs w:val="24"/>
          <w:lang w:val="ro-RO"/>
        </w:rPr>
        <w:t>O mare parte a populației nu face diferență între carabinieri și polițiști sau între diferite subdiviziuni ale Poliției și nu cunoaște competențele specifice fiecărei structuri</w:t>
      </w:r>
      <w:r w:rsidRPr="000C6E07">
        <w:rPr>
          <w:rFonts w:eastAsia="Calibri"/>
          <w:sz w:val="24"/>
          <w:szCs w:val="24"/>
          <w:lang w:val="ro-RO"/>
        </w:rPr>
        <w:t xml:space="preserve">, făcând prezumpții false despre obligațiile angajaților forțelor de ordine. Această confuzie se manifestă prin percepția că </w:t>
      </w:r>
      <w:r w:rsidR="00FC15AC">
        <w:rPr>
          <w:rFonts w:eastAsia="Calibri"/>
          <w:sz w:val="24"/>
          <w:szCs w:val="24"/>
          <w:lang w:val="ro-RO"/>
        </w:rPr>
        <w:t>P</w:t>
      </w:r>
      <w:r w:rsidRPr="000C6E07">
        <w:rPr>
          <w:rFonts w:eastAsia="Calibri"/>
          <w:sz w:val="24"/>
          <w:szCs w:val="24"/>
          <w:lang w:val="ro-RO"/>
        </w:rPr>
        <w:t xml:space="preserve">oliția întruchipează toate serviciile de ordine și securitate publică. Nici studiile sociologice disponibile nu fac această diferență, respectiv am putea presupune că majoritatea cifrelor sondajelor cu privire la poliție reflectă în egală măsură și percepția față de carabinieri ca exponenți ai structurilor de ordine publică. </w:t>
      </w:r>
    </w:p>
    <w:p w14:paraId="23C7BAAD" w14:textId="35657E08" w:rsidR="000C6E07" w:rsidRPr="000C6E07" w:rsidRDefault="000C6E07" w:rsidP="000C6E07">
      <w:pPr>
        <w:spacing w:after="120"/>
        <w:ind w:firstLine="539"/>
        <w:jc w:val="both"/>
        <w:rPr>
          <w:rFonts w:eastAsia="Calibri"/>
          <w:color w:val="0070C0"/>
          <w:sz w:val="24"/>
          <w:szCs w:val="24"/>
          <w:lang w:val="ro-RO"/>
        </w:rPr>
      </w:pPr>
      <w:r w:rsidRPr="00B63119">
        <w:rPr>
          <w:rFonts w:eastAsia="Calibri"/>
          <w:sz w:val="24"/>
          <w:szCs w:val="24"/>
          <w:lang w:val="ro-RO"/>
        </w:rPr>
        <w:t xml:space="preserve">Conform studiului </w:t>
      </w:r>
      <w:r w:rsidR="00B63119" w:rsidRPr="00B63119">
        <w:rPr>
          <w:rFonts w:eastAsia="Calibri"/>
          <w:sz w:val="24"/>
          <w:szCs w:val="24"/>
          <w:lang w:val="ro-RO"/>
        </w:rPr>
        <w:t xml:space="preserve">Centrului parteneriat pentru Dezvoltare </w:t>
      </w:r>
      <w:r w:rsidRPr="00B63119">
        <w:rPr>
          <w:rFonts w:eastAsia="Calibri"/>
          <w:sz w:val="24"/>
          <w:szCs w:val="24"/>
          <w:lang w:val="ro-RO"/>
        </w:rPr>
        <w:t>„Moldova</w:t>
      </w:r>
      <w:r w:rsidRPr="000C6E07">
        <w:rPr>
          <w:rFonts w:eastAsia="Calibri"/>
          <w:sz w:val="24"/>
          <w:szCs w:val="24"/>
          <w:lang w:val="ro-RO"/>
        </w:rPr>
        <w:t xml:space="preserve"> inegală”</w:t>
      </w:r>
      <w:r w:rsidR="005349DF">
        <w:rPr>
          <w:rFonts w:eastAsia="Calibri"/>
          <w:sz w:val="24"/>
          <w:szCs w:val="24"/>
          <w:lang w:val="ro-RO"/>
        </w:rPr>
        <w:t xml:space="preserve"> (CPD)</w:t>
      </w:r>
      <w:r w:rsidRPr="000C6E07">
        <w:rPr>
          <w:rFonts w:eastAsia="Calibri"/>
          <w:sz w:val="24"/>
          <w:szCs w:val="24"/>
          <w:lang w:val="ro-RO"/>
        </w:rPr>
        <w:t xml:space="preserve">, 48,6% din populația generală are foarte multă și oarecare încredere în poliție, valoare peste cele 37% constatate în BOP 2023. În rândul persoanelor cu dizabilități, nivelul de încredere este mai mic, doar 40,4% din respondenți acordând foarte multă și oarecare încredere în poliție. Totodată, îngrijorează ponderea mare a respondenților, care nu au deloc încredere în </w:t>
      </w:r>
      <w:r w:rsidR="00FC15AC">
        <w:rPr>
          <w:rFonts w:eastAsia="Calibri"/>
          <w:sz w:val="24"/>
          <w:szCs w:val="24"/>
          <w:lang w:val="ro-RO"/>
        </w:rPr>
        <w:t>P</w:t>
      </w:r>
      <w:r w:rsidRPr="000C6E07">
        <w:rPr>
          <w:rFonts w:eastAsia="Calibri"/>
          <w:sz w:val="24"/>
          <w:szCs w:val="24"/>
          <w:lang w:val="ro-RO"/>
        </w:rPr>
        <w:t xml:space="preserve">oliție (27,2% </w:t>
      </w:r>
      <w:r w:rsidR="00FC15AC">
        <w:rPr>
          <w:rFonts w:eastAsia="Calibri"/>
          <w:sz w:val="24"/>
          <w:szCs w:val="24"/>
          <w:lang w:val="ro-RO"/>
        </w:rPr>
        <w:t xml:space="preserve">din </w:t>
      </w:r>
      <w:r w:rsidRPr="000C6E07">
        <w:rPr>
          <w:rFonts w:eastAsia="Calibri"/>
          <w:sz w:val="24"/>
          <w:szCs w:val="24"/>
          <w:lang w:val="ro-RO"/>
        </w:rPr>
        <w:t>populați</w:t>
      </w:r>
      <w:r w:rsidR="00FC15AC">
        <w:rPr>
          <w:rFonts w:eastAsia="Calibri"/>
          <w:sz w:val="24"/>
          <w:szCs w:val="24"/>
          <w:lang w:val="ro-RO"/>
        </w:rPr>
        <w:t>a</w:t>
      </w:r>
      <w:r w:rsidRPr="000C6E07">
        <w:rPr>
          <w:rFonts w:eastAsia="Calibri"/>
          <w:sz w:val="24"/>
          <w:szCs w:val="24"/>
          <w:lang w:val="ro-RO"/>
        </w:rPr>
        <w:t xml:space="preserve"> general</w:t>
      </w:r>
      <w:r w:rsidR="00FC15AC">
        <w:rPr>
          <w:rFonts w:eastAsia="Calibri"/>
          <w:sz w:val="24"/>
          <w:szCs w:val="24"/>
          <w:lang w:val="ro-RO"/>
        </w:rPr>
        <w:t>ă</w:t>
      </w:r>
      <w:r w:rsidRPr="000C6E07">
        <w:rPr>
          <w:rFonts w:eastAsia="Calibri"/>
          <w:sz w:val="24"/>
          <w:szCs w:val="24"/>
          <w:lang w:val="ro-RO"/>
        </w:rPr>
        <w:t xml:space="preserve"> și 36,5% în  rândul persoanelor cu dizabilități</w:t>
      </w:r>
      <w:r w:rsidR="00FC15AC">
        <w:rPr>
          <w:rFonts w:eastAsia="Calibri"/>
          <w:sz w:val="24"/>
          <w:szCs w:val="24"/>
          <w:lang w:val="ro-RO"/>
        </w:rPr>
        <w:t>)</w:t>
      </w:r>
      <w:r w:rsidRPr="000C6E07">
        <w:rPr>
          <w:rFonts w:eastAsia="Calibri"/>
          <w:sz w:val="24"/>
          <w:szCs w:val="24"/>
          <w:lang w:val="ro-RO"/>
        </w:rPr>
        <w:t>.</w:t>
      </w:r>
      <w:r w:rsidRPr="000C6E07">
        <w:rPr>
          <w:rFonts w:eastAsia="Calibri"/>
          <w:color w:val="0070C0"/>
          <w:sz w:val="24"/>
          <w:szCs w:val="24"/>
          <w:lang w:val="ro-RO"/>
        </w:rPr>
        <w:t xml:space="preserve"> </w:t>
      </w:r>
    </w:p>
    <w:p w14:paraId="40514FFF" w14:textId="39F56A13" w:rsidR="000C6E07" w:rsidRPr="000C6E07" w:rsidRDefault="000C6E07" w:rsidP="000C6E07">
      <w:pPr>
        <w:spacing w:after="0"/>
        <w:jc w:val="center"/>
        <w:rPr>
          <w:rFonts w:eastAsia="Calibri"/>
          <w:color w:val="0070C0"/>
          <w:sz w:val="24"/>
          <w:szCs w:val="24"/>
          <w:lang w:val="ro-RO"/>
        </w:rPr>
      </w:pPr>
      <w:r w:rsidRPr="000C6E07">
        <w:rPr>
          <w:noProof/>
          <w:lang w:val="ro-RO"/>
        </w:rPr>
        <w:drawing>
          <wp:inline distT="0" distB="0" distL="0" distR="0" wp14:anchorId="3FB9513A" wp14:editId="73B560D6">
            <wp:extent cx="5940000" cy="1548000"/>
            <wp:effectExtent l="0" t="0" r="381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76B89D"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10.</w:t>
      </w:r>
      <w:r w:rsidRPr="000C6E07">
        <w:rPr>
          <w:i/>
          <w:sz w:val="24"/>
          <w:szCs w:val="24"/>
          <w:lang w:val="ro-RO"/>
        </w:rPr>
        <w:t xml:space="preserve"> Distribuția nivelului de încredere în poliție în rândul populației generale, al persoanelor cu dizabilități și al persoanelor de etnie romă, 2025</w:t>
      </w:r>
      <w:r w:rsidRPr="000C6E07">
        <w:rPr>
          <w:bCs/>
          <w:i/>
          <w:sz w:val="24"/>
          <w:szCs w:val="24"/>
          <w:lang w:val="ro-RO"/>
        </w:rPr>
        <w:t xml:space="preserve"> </w:t>
      </w:r>
    </w:p>
    <w:p w14:paraId="079523C0" w14:textId="77777777" w:rsidR="000C6E07" w:rsidRPr="000C6E07" w:rsidRDefault="000C6E07" w:rsidP="000C6E07">
      <w:pPr>
        <w:spacing w:after="120"/>
        <w:ind w:firstLine="539"/>
        <w:jc w:val="center"/>
        <w:rPr>
          <w:rFonts w:eastAsia="Calibri"/>
          <w:color w:val="0070C0"/>
          <w:sz w:val="24"/>
          <w:szCs w:val="24"/>
          <w:lang w:val="ro-RO"/>
        </w:rPr>
      </w:pPr>
      <w:r w:rsidRPr="000C6E07">
        <w:rPr>
          <w:b/>
          <w:sz w:val="24"/>
          <w:szCs w:val="24"/>
          <w:lang w:val="ro-RO"/>
        </w:rPr>
        <w:t xml:space="preserve">Sursa: </w:t>
      </w:r>
      <w:r w:rsidRPr="000C6E07">
        <w:rPr>
          <w:i/>
          <w:sz w:val="24"/>
          <w:szCs w:val="24"/>
          <w:lang w:val="ro-RO"/>
        </w:rPr>
        <w:t>Studiul CPD Moldova inegală (2025)</w:t>
      </w:r>
    </w:p>
    <w:p w14:paraId="7F891F83" w14:textId="77777777" w:rsidR="000C6E07" w:rsidRPr="000C6E07" w:rsidRDefault="000C6E07" w:rsidP="000C6E07">
      <w:pPr>
        <w:spacing w:after="0"/>
        <w:ind w:firstLine="540"/>
        <w:jc w:val="both"/>
        <w:rPr>
          <w:sz w:val="24"/>
          <w:szCs w:val="24"/>
          <w:lang w:val="ro-RO" w:eastAsia="ro-RO"/>
        </w:rPr>
      </w:pPr>
      <w:r w:rsidRPr="000C6E07">
        <w:rPr>
          <w:b/>
          <w:sz w:val="24"/>
          <w:szCs w:val="24"/>
          <w:lang w:val="ro-RO" w:eastAsia="ro-RO"/>
        </w:rPr>
        <w:t>Deficiențele cu caracter general ale serviciilor de OSP privind siguranța populației.</w:t>
      </w:r>
      <w:r w:rsidRPr="000C6E07">
        <w:rPr>
          <w:sz w:val="24"/>
          <w:szCs w:val="24"/>
          <w:lang w:val="ro-RO" w:eastAsia="ro-RO"/>
        </w:rPr>
        <w:t xml:space="preserve"> Subdiviziunile MAI care prestează servicii în susținerea OSP, se confruntă cu un spectru divers de deficiențe și provocări. Deficiențele cu caracter general, care sunt prezentate în continuare afectează calitatea serviciilor prestate pentru fiecare din mediile din această analiză. În mod specific, pentru fiecare context analizat, lista deficiențelor este completată cu alte provocări cu care se confruntă subdiviziunile de OSP, care pot afecta calitatea serviciilor și siguranța populației.</w:t>
      </w:r>
    </w:p>
    <w:p w14:paraId="4A8AEF95" w14:textId="3B2D36E7" w:rsidR="000C6E07" w:rsidRPr="000C6E07" w:rsidRDefault="000C6E07" w:rsidP="000C6E07">
      <w:pPr>
        <w:spacing w:after="0"/>
        <w:ind w:firstLine="540"/>
        <w:jc w:val="both"/>
        <w:rPr>
          <w:sz w:val="24"/>
          <w:szCs w:val="24"/>
          <w:lang w:val="ro-RO" w:eastAsia="ro-RO"/>
        </w:rPr>
      </w:pPr>
      <w:r w:rsidRPr="000C6E07">
        <w:rPr>
          <w:b/>
          <w:sz w:val="24"/>
          <w:szCs w:val="24"/>
          <w:lang w:val="ro-RO" w:eastAsia="ro-RO"/>
        </w:rPr>
        <w:lastRenderedPageBreak/>
        <w:t xml:space="preserve">Subdiviziunile MAI se confruntă cu un deficit major de angajați la nivel operațional. </w:t>
      </w:r>
      <w:r w:rsidRPr="000C6E07">
        <w:rPr>
          <w:sz w:val="24"/>
          <w:szCs w:val="24"/>
          <w:lang w:val="ro-RO" w:eastAsia="ro-RO"/>
        </w:rPr>
        <w:t xml:space="preserve">Efectivul limită cumulat al </w:t>
      </w:r>
      <w:r w:rsidRPr="00B63119">
        <w:rPr>
          <w:sz w:val="24"/>
          <w:szCs w:val="24"/>
          <w:lang w:val="ro-RO" w:eastAsia="ro-RO"/>
        </w:rPr>
        <w:t>IGP și</w:t>
      </w:r>
      <w:r w:rsidR="00FC15AC" w:rsidRPr="00B63119">
        <w:rPr>
          <w:sz w:val="24"/>
          <w:szCs w:val="24"/>
          <w:lang w:val="ro-RO" w:eastAsia="ro-RO"/>
        </w:rPr>
        <w:t xml:space="preserve"> Inspectoratul General de Carabinieri (în continuare – IGC) </w:t>
      </w:r>
      <w:r w:rsidRPr="00B63119">
        <w:rPr>
          <w:sz w:val="24"/>
          <w:szCs w:val="24"/>
          <w:lang w:val="ro-RO" w:eastAsia="ro-RO"/>
        </w:rPr>
        <w:t>era în 2025</w:t>
      </w:r>
      <w:r w:rsidRPr="000C6E07">
        <w:rPr>
          <w:sz w:val="24"/>
          <w:szCs w:val="24"/>
          <w:lang w:val="ro-RO" w:eastAsia="ro-RO"/>
        </w:rPr>
        <w:t xml:space="preserve"> de 10313 funcții, din care 9126 funcții de polițiști (88,5%) și 1187 funcții de carabinieri (11,5%).</w:t>
      </w:r>
      <w:r w:rsidRPr="000C6E07">
        <w:rPr>
          <w:b/>
          <w:sz w:val="24"/>
          <w:szCs w:val="24"/>
          <w:lang w:val="ro-RO" w:eastAsia="ro-RO"/>
        </w:rPr>
        <w:t xml:space="preserve"> </w:t>
      </w:r>
      <w:r w:rsidRPr="000C6E07">
        <w:rPr>
          <w:sz w:val="24"/>
          <w:szCs w:val="24"/>
          <w:lang w:val="ro-RO" w:eastAsia="ro-RO"/>
        </w:rPr>
        <w:t>Ambele instituții se confruntă cu flux de personal, nivelul de funcții vacante fiind de peste 11% în Poliție și 18% la Carabinieri. În IGP, ponderea angajaților cu o vechime mai mică de 5 ani a crescut la 24% în anul 2024, față de 22% în 2021, în timp ce proporția celor cu o experiență de peste 20 de ani a scăzut de la 19% la 17%. Această evoluție sugerează dificultăți în retenția personalului cu experiență. Acest context poate avea implicații asupra continuității instituționale și transferului de cunoștințe în cadrul structurilor de poliție. (Figura 11)</w:t>
      </w:r>
    </w:p>
    <w:p w14:paraId="4F15FEDF" w14:textId="77777777" w:rsidR="000C6E07" w:rsidRPr="000C6E07" w:rsidRDefault="000C6E07" w:rsidP="000C6E07">
      <w:pPr>
        <w:spacing w:after="0"/>
        <w:ind w:firstLine="540"/>
        <w:jc w:val="both"/>
        <w:rPr>
          <w:sz w:val="24"/>
          <w:szCs w:val="24"/>
          <w:lang w:val="ro-RO" w:eastAsia="ro-RO"/>
        </w:rPr>
      </w:pPr>
      <w:r w:rsidRPr="000C6E07">
        <w:rPr>
          <w:b/>
          <w:sz w:val="24"/>
          <w:szCs w:val="24"/>
          <w:lang w:val="ro-RO" w:eastAsia="ro-RO"/>
        </w:rPr>
        <w:t>În cazul IGC, ponderea angajaților cu o vechime sub 5 ani este considerabil mai mare, ajungând la 42% în 2024</w:t>
      </w:r>
      <w:r w:rsidRPr="000C6E07">
        <w:rPr>
          <w:sz w:val="24"/>
          <w:szCs w:val="24"/>
          <w:lang w:val="ro-RO" w:eastAsia="ro-RO"/>
        </w:rPr>
        <w:t>. Această cifră reflectă un profil instituțional diferit, explicabil prin faptul că abia în anul 2021 a fost finalizat procesul de profesionalizare a carabinierilor. Prin urmare, o mare parte dintre angajații actuali au fost încadrați în sistem relativ recent. Această situație implică, pe de o parte, oportunități pentru formarea unei noi generații de profesioniști adaptați la standardele actuale, dar, pe de altă parte, și provocări în ceea ce privește experiența practică, coeziunea echipelor și necesitatea consolidării capacităților operaționale prin instruire continuă și mentorat.</w:t>
      </w:r>
    </w:p>
    <w:p w14:paraId="19DF7F64" w14:textId="77777777" w:rsidR="000C6E07" w:rsidRPr="000C6E07" w:rsidRDefault="000C6E07" w:rsidP="000C6E07">
      <w:pPr>
        <w:spacing w:after="0"/>
        <w:jc w:val="center"/>
        <w:rPr>
          <w:sz w:val="24"/>
          <w:szCs w:val="24"/>
          <w:lang w:val="ro-RO" w:eastAsia="ro-RO"/>
        </w:rPr>
      </w:pPr>
      <w:r w:rsidRPr="000C6E07">
        <w:rPr>
          <w:noProof/>
          <w:lang w:val="ro-RO"/>
        </w:rPr>
        <w:drawing>
          <wp:inline distT="0" distB="0" distL="0" distR="0" wp14:anchorId="6C427D86" wp14:editId="4ECC7D07">
            <wp:extent cx="5940000" cy="1548000"/>
            <wp:effectExtent l="0" t="0" r="3810" b="1460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E26D2A8" w14:textId="77777777" w:rsidR="000C6E07" w:rsidRPr="000C6E07" w:rsidRDefault="000C6E07" w:rsidP="000C6E07">
      <w:pPr>
        <w:spacing w:after="0"/>
        <w:ind w:firstLine="540"/>
        <w:jc w:val="center"/>
        <w:rPr>
          <w:i/>
          <w:sz w:val="24"/>
          <w:szCs w:val="24"/>
          <w:lang w:val="ro-RO"/>
        </w:rPr>
      </w:pPr>
      <w:r w:rsidRPr="000C6E07">
        <w:rPr>
          <w:b/>
          <w:sz w:val="24"/>
          <w:szCs w:val="24"/>
          <w:lang w:val="ro-RO"/>
        </w:rPr>
        <w:t>Figura 11.</w:t>
      </w:r>
      <w:r w:rsidRPr="000C6E07">
        <w:rPr>
          <w:i/>
          <w:sz w:val="24"/>
          <w:szCs w:val="24"/>
          <w:lang w:val="ro-RO"/>
        </w:rPr>
        <w:t xml:space="preserve"> Distribuirea angajaților IGP și IGC în funcție de vechimea în sistem, 2024</w:t>
      </w:r>
    </w:p>
    <w:p w14:paraId="226C3AC5" w14:textId="77777777" w:rsidR="000C6E07" w:rsidRPr="000C6E07" w:rsidRDefault="000C6E07" w:rsidP="000C6E07">
      <w:pPr>
        <w:spacing w:after="120"/>
        <w:ind w:firstLine="539"/>
        <w:jc w:val="center"/>
        <w:rPr>
          <w:rFonts w:eastAsia="Calibri"/>
          <w:color w:val="0070C0"/>
          <w:sz w:val="24"/>
          <w:szCs w:val="24"/>
          <w:lang w:val="ro-RO"/>
        </w:rPr>
      </w:pPr>
      <w:r w:rsidRPr="000C6E07">
        <w:rPr>
          <w:b/>
          <w:sz w:val="24"/>
          <w:szCs w:val="24"/>
          <w:lang w:val="ro-RO"/>
        </w:rPr>
        <w:t xml:space="preserve">Sursa: </w:t>
      </w:r>
      <w:r w:rsidRPr="000C6E07">
        <w:rPr>
          <w:i/>
          <w:sz w:val="24"/>
          <w:szCs w:val="24"/>
          <w:lang w:val="ro-RO" w:eastAsia="ro-RO"/>
        </w:rPr>
        <w:t xml:space="preserve">Inspectoratul General al </w:t>
      </w:r>
      <w:r w:rsidRPr="000C6E07">
        <w:rPr>
          <w:i/>
          <w:sz w:val="24"/>
          <w:szCs w:val="24"/>
          <w:lang w:val="ro-RO"/>
        </w:rPr>
        <w:t>Poliției</w:t>
      </w:r>
      <w:r w:rsidRPr="000C6E07">
        <w:rPr>
          <w:rFonts w:eastAsia="Calibri"/>
          <w:color w:val="0070C0"/>
          <w:sz w:val="24"/>
          <w:szCs w:val="24"/>
          <w:lang w:val="ro-RO"/>
        </w:rPr>
        <w:t xml:space="preserve">, </w:t>
      </w:r>
      <w:r w:rsidRPr="000C6E07">
        <w:rPr>
          <w:i/>
          <w:sz w:val="24"/>
          <w:szCs w:val="24"/>
          <w:lang w:val="ro-RO" w:eastAsia="ro-RO"/>
        </w:rPr>
        <w:t>Inspectoratul General de Carabinieri</w:t>
      </w:r>
      <w:r w:rsidRPr="000C6E07" w:rsidDel="0020308B">
        <w:rPr>
          <w:rFonts w:eastAsia="Calibri"/>
          <w:color w:val="0070C0"/>
          <w:sz w:val="24"/>
          <w:szCs w:val="24"/>
          <w:lang w:val="ro-RO"/>
        </w:rPr>
        <w:t xml:space="preserve"> </w:t>
      </w:r>
    </w:p>
    <w:p w14:paraId="2D1752D6" w14:textId="77777777" w:rsidR="000C6E07" w:rsidRPr="000C6E07" w:rsidRDefault="000C6E07" w:rsidP="000C6E07">
      <w:pPr>
        <w:spacing w:after="0"/>
        <w:ind w:firstLine="540"/>
        <w:jc w:val="both"/>
        <w:rPr>
          <w:sz w:val="24"/>
          <w:szCs w:val="24"/>
          <w:lang w:val="ro-RO" w:eastAsia="ro-RO"/>
        </w:rPr>
      </w:pPr>
      <w:r w:rsidRPr="000C6E07">
        <w:rPr>
          <w:sz w:val="24"/>
          <w:szCs w:val="24"/>
          <w:lang w:val="ro-RO" w:eastAsia="ro-RO"/>
        </w:rPr>
        <w:t xml:space="preserve">În ansamblu, datele indică o tendință de reînnoire a corpului profesional în ambele instituții, însă cu ritmuri și cauze diferite. În timp ce IGP trece printr-un proces de înlocuire a personalului cu experiență, IGC se află într-o etapă incipientă de dezvoltare a resurselor umane, ceea ce necesită politici active de integrare, retenție și dezvoltare profesională. </w:t>
      </w:r>
    </w:p>
    <w:p w14:paraId="72D1A937" w14:textId="6979B9BB" w:rsidR="000C6E07" w:rsidRPr="000C6E07" w:rsidRDefault="000C6E07" w:rsidP="00096CC5">
      <w:pPr>
        <w:spacing w:after="0"/>
        <w:ind w:firstLine="540"/>
        <w:jc w:val="both"/>
        <w:rPr>
          <w:sz w:val="24"/>
          <w:szCs w:val="24"/>
          <w:lang w:val="ro-RO" w:eastAsia="ro-RO"/>
        </w:rPr>
      </w:pPr>
      <w:r w:rsidRPr="00B63119">
        <w:rPr>
          <w:sz w:val="24"/>
          <w:szCs w:val="24"/>
          <w:lang w:val="ro-RO" w:eastAsia="ro-RO"/>
        </w:rPr>
        <w:t xml:space="preserve">IGP </w:t>
      </w:r>
      <w:r w:rsidR="002417D9" w:rsidRPr="00B63119">
        <w:rPr>
          <w:sz w:val="24"/>
          <w:szCs w:val="24"/>
          <w:lang w:val="ro-RO" w:eastAsia="ro-RO"/>
        </w:rPr>
        <w:t xml:space="preserve">la începutul anului 2025 dispunea de un </w:t>
      </w:r>
      <w:r w:rsidRPr="00B63119">
        <w:rPr>
          <w:sz w:val="24"/>
          <w:szCs w:val="24"/>
          <w:lang w:val="ro-RO" w:eastAsia="ro-RO"/>
        </w:rPr>
        <w:t>efectiv</w:t>
      </w:r>
      <w:r w:rsidRPr="000C6E07">
        <w:rPr>
          <w:sz w:val="24"/>
          <w:szCs w:val="24"/>
          <w:lang w:val="ro-RO" w:eastAsia="ro-RO"/>
        </w:rPr>
        <w:t xml:space="preserve"> total de 8 083 de angajați din efectivul-limită de 9126 de funcții (conform H</w:t>
      </w:r>
      <w:r w:rsidR="00FC15AC">
        <w:rPr>
          <w:sz w:val="24"/>
          <w:szCs w:val="24"/>
          <w:lang w:val="ro-RO" w:eastAsia="ro-RO"/>
        </w:rPr>
        <w:t xml:space="preserve">otărârii Guvernului </w:t>
      </w:r>
      <w:r w:rsidR="00096CC5">
        <w:rPr>
          <w:sz w:val="24"/>
          <w:szCs w:val="24"/>
          <w:lang w:val="ro-RO" w:eastAsia="ro-RO"/>
        </w:rPr>
        <w:t xml:space="preserve">nr. </w:t>
      </w:r>
      <w:r w:rsidRPr="000C6E07">
        <w:rPr>
          <w:sz w:val="24"/>
          <w:szCs w:val="24"/>
          <w:lang w:val="ro-RO" w:eastAsia="ro-RO"/>
        </w:rPr>
        <w:t>547/2019), adică 88,6% din funcții</w:t>
      </w:r>
      <w:r w:rsidR="00096CC5">
        <w:rPr>
          <w:sz w:val="24"/>
          <w:szCs w:val="24"/>
          <w:lang w:val="ro-RO" w:eastAsia="ro-RO"/>
        </w:rPr>
        <w:t>le</w:t>
      </w:r>
      <w:r w:rsidRPr="000C6E07">
        <w:rPr>
          <w:sz w:val="24"/>
          <w:szCs w:val="24"/>
          <w:lang w:val="ro-RO" w:eastAsia="ro-RO"/>
        </w:rPr>
        <w:t xml:space="preserve"> completate. Conform moratoriului temporar privind angajarea în sectorul public, instituit începând din 2018, a fost suspendată posibilitatea angajării într-un anumit număr de funcții și în cadrul MAI. Astfel, în temeiul Hotărârii Guvernului nr.911/2024 pentru stabilirea moratoriului temporar privind încadrarea personalului din sectorul bugetar în funcțiile vacante </w:t>
      </w:r>
      <w:r w:rsidRPr="00B63119">
        <w:rPr>
          <w:sz w:val="24"/>
          <w:szCs w:val="24"/>
          <w:lang w:val="ro-RO" w:eastAsia="ro-RO"/>
        </w:rPr>
        <w:t>înregistrate, în cadrul IGP pentru anul 2025 erau înghețate 1027 funcții sau 56% din totalul unităților vacante</w:t>
      </w:r>
      <w:r w:rsidR="00096CC5" w:rsidRPr="00B63119">
        <w:rPr>
          <w:sz w:val="24"/>
          <w:szCs w:val="24"/>
          <w:lang w:val="ro-RO" w:eastAsia="ro-RO"/>
        </w:rPr>
        <w:t>,</w:t>
      </w:r>
      <w:r w:rsidR="00096CC5" w:rsidRPr="00B63119">
        <w:rPr>
          <w:rFonts w:ascii="Segoe UI" w:eastAsia="Times New Roman" w:hAnsi="Segoe UI" w:cs="Segoe UI"/>
          <w:i/>
          <w:iCs/>
          <w:color w:val="5B9BD5"/>
          <w:sz w:val="18"/>
          <w:szCs w:val="18"/>
          <w:lang w:val="ro-RO" w:eastAsia="ro-RO"/>
          <w14:ligatures w14:val="none"/>
        </w:rPr>
        <w:t xml:space="preserve"> </w:t>
      </w:r>
      <w:r w:rsidR="00096CC5" w:rsidRPr="00B63119">
        <w:rPr>
          <w:sz w:val="24"/>
          <w:szCs w:val="24"/>
          <w:lang w:val="ro-RO" w:eastAsia="ro-RO"/>
        </w:rPr>
        <w:t>pentru care se suspendă încadrarea în cadrul Ministerului Afacerilor Interne</w:t>
      </w:r>
      <w:r w:rsidRPr="00B63119">
        <w:rPr>
          <w:sz w:val="24"/>
          <w:szCs w:val="24"/>
          <w:lang w:val="ro-RO" w:eastAsia="ro-RO"/>
        </w:rPr>
        <w:t>. Anual, între 11% și 15% din</w:t>
      </w:r>
      <w:r w:rsidRPr="000C6E07">
        <w:rPr>
          <w:sz w:val="24"/>
          <w:szCs w:val="24"/>
          <w:lang w:val="ro-RO" w:eastAsia="ro-RO"/>
        </w:rPr>
        <w:t xml:space="preserve"> efectivul total al Poliției a încetat raporturile de serviciu în ultima perioadă. Principalul motiv al plecării îl constituie demisia (59% din total în 2024), iar al doilea motiv ca pondere este ieșirea la pensie (21% în 2024).</w:t>
      </w:r>
    </w:p>
    <w:p w14:paraId="70559C23" w14:textId="77777777" w:rsidR="000C6E07" w:rsidRPr="000C6E07" w:rsidRDefault="000C6E07" w:rsidP="00B63119">
      <w:pPr>
        <w:spacing w:before="120" w:after="0"/>
        <w:ind w:firstLine="539"/>
        <w:jc w:val="center"/>
        <w:rPr>
          <w:b/>
          <w:iCs/>
          <w:sz w:val="24"/>
          <w:szCs w:val="24"/>
          <w:lang w:val="ro-RO" w:eastAsia="ro-RO"/>
        </w:rPr>
      </w:pPr>
      <w:r w:rsidRPr="000C6E07">
        <w:rPr>
          <w:b/>
          <w:sz w:val="24"/>
          <w:szCs w:val="24"/>
          <w:lang w:val="ro-RO" w:eastAsia="ro-RO"/>
        </w:rPr>
        <w:t xml:space="preserve">Tabelul 1. </w:t>
      </w:r>
      <w:r w:rsidRPr="000C6E07">
        <w:rPr>
          <w:b/>
          <w:iCs/>
          <w:sz w:val="24"/>
          <w:szCs w:val="24"/>
          <w:lang w:val="ro-RO" w:eastAsia="ro-RO"/>
        </w:rPr>
        <w:t>Motivele încetării raporturilor de serviciu în cadrul Poliției</w:t>
      </w:r>
    </w:p>
    <w:tbl>
      <w:tblPr>
        <w:tblW w:w="9317" w:type="dxa"/>
        <w:jc w:val="center"/>
        <w:tblLayout w:type="fixed"/>
        <w:tblLook w:val="04A0" w:firstRow="1" w:lastRow="0" w:firstColumn="1" w:lastColumn="0" w:noHBand="0" w:noVBand="1"/>
      </w:tblPr>
      <w:tblGrid>
        <w:gridCol w:w="4536"/>
        <w:gridCol w:w="956"/>
        <w:gridCol w:w="956"/>
        <w:gridCol w:w="956"/>
        <w:gridCol w:w="956"/>
        <w:gridCol w:w="957"/>
      </w:tblGrid>
      <w:tr w:rsidR="000C6E07" w:rsidRPr="000C6E07" w14:paraId="508B958D" w14:textId="77777777" w:rsidTr="000C6E07">
        <w:trPr>
          <w:trHeight w:val="270"/>
          <w:jc w:val="center"/>
        </w:trPr>
        <w:tc>
          <w:tcPr>
            <w:tcW w:w="4536" w:type="dxa"/>
            <w:tcBorders>
              <w:top w:val="single" w:sz="4" w:space="0" w:color="auto"/>
              <w:left w:val="single" w:sz="4" w:space="0" w:color="auto"/>
              <w:bottom w:val="single" w:sz="4" w:space="0" w:color="auto"/>
              <w:right w:val="single" w:sz="4" w:space="0" w:color="auto"/>
            </w:tcBorders>
            <w:noWrap/>
            <w:vAlign w:val="center"/>
            <w:hideMark/>
          </w:tcPr>
          <w:p w14:paraId="1F53DFFB" w14:textId="77777777" w:rsidR="000C6E07" w:rsidRPr="000C6E07" w:rsidRDefault="000C6E07" w:rsidP="000C6E07">
            <w:pPr>
              <w:spacing w:after="0"/>
              <w:jc w:val="center"/>
              <w:rPr>
                <w:b/>
                <w:bCs/>
                <w:i/>
                <w:iCs/>
                <w:sz w:val="20"/>
                <w:szCs w:val="20"/>
                <w:lang w:val="ro-RO"/>
              </w:rPr>
            </w:pPr>
            <w:r w:rsidRPr="000C6E07">
              <w:rPr>
                <w:b/>
                <w:bCs/>
                <w:i/>
                <w:iCs/>
                <w:sz w:val="20"/>
                <w:szCs w:val="20"/>
                <w:lang w:val="ro-RO"/>
              </w:rPr>
              <w:t>Motivele încetării raporturilor de serviciu  </w:t>
            </w:r>
          </w:p>
        </w:tc>
        <w:tc>
          <w:tcPr>
            <w:tcW w:w="956" w:type="dxa"/>
            <w:tcBorders>
              <w:top w:val="single" w:sz="4" w:space="0" w:color="auto"/>
              <w:left w:val="nil"/>
              <w:bottom w:val="single" w:sz="4" w:space="0" w:color="auto"/>
              <w:right w:val="single" w:sz="4" w:space="0" w:color="auto"/>
            </w:tcBorders>
            <w:vAlign w:val="center"/>
          </w:tcPr>
          <w:p w14:paraId="6FC45DFF" w14:textId="77777777" w:rsidR="000C6E07" w:rsidRPr="000C6E07" w:rsidRDefault="000C6E07" w:rsidP="000C6E07">
            <w:pPr>
              <w:spacing w:after="0"/>
              <w:jc w:val="center"/>
              <w:rPr>
                <w:b/>
                <w:bCs/>
                <w:i/>
                <w:iCs/>
                <w:sz w:val="20"/>
                <w:szCs w:val="20"/>
                <w:lang w:val="ro-RO"/>
              </w:rPr>
            </w:pPr>
            <w:r w:rsidRPr="000C6E07">
              <w:rPr>
                <w:b/>
                <w:bCs/>
                <w:i/>
                <w:iCs/>
                <w:sz w:val="20"/>
                <w:szCs w:val="20"/>
                <w:lang w:val="ro-RO" w:eastAsia="ro-RO"/>
              </w:rPr>
              <w:t>2020</w:t>
            </w:r>
          </w:p>
        </w:tc>
        <w:tc>
          <w:tcPr>
            <w:tcW w:w="956" w:type="dxa"/>
            <w:tcBorders>
              <w:top w:val="single" w:sz="4" w:space="0" w:color="auto"/>
              <w:left w:val="single" w:sz="4" w:space="0" w:color="auto"/>
              <w:bottom w:val="single" w:sz="4" w:space="0" w:color="auto"/>
              <w:right w:val="single" w:sz="4" w:space="0" w:color="auto"/>
            </w:tcBorders>
            <w:vAlign w:val="center"/>
          </w:tcPr>
          <w:p w14:paraId="5B56FA38" w14:textId="77777777" w:rsidR="000C6E07" w:rsidRPr="000C6E07" w:rsidRDefault="000C6E07" w:rsidP="000C6E07">
            <w:pPr>
              <w:spacing w:after="0"/>
              <w:jc w:val="center"/>
              <w:rPr>
                <w:b/>
                <w:bCs/>
                <w:i/>
                <w:iCs/>
                <w:sz w:val="20"/>
                <w:szCs w:val="20"/>
                <w:lang w:val="ro-RO"/>
              </w:rPr>
            </w:pPr>
            <w:r w:rsidRPr="000C6E07">
              <w:rPr>
                <w:b/>
                <w:bCs/>
                <w:i/>
                <w:iCs/>
                <w:sz w:val="20"/>
                <w:szCs w:val="20"/>
                <w:lang w:val="ro-RO" w:eastAsia="ro-RO"/>
              </w:rPr>
              <w:t>2021</w:t>
            </w:r>
          </w:p>
        </w:tc>
        <w:tc>
          <w:tcPr>
            <w:tcW w:w="956" w:type="dxa"/>
            <w:tcBorders>
              <w:top w:val="single" w:sz="4" w:space="0" w:color="auto"/>
              <w:left w:val="nil"/>
              <w:bottom w:val="single" w:sz="4" w:space="0" w:color="auto"/>
              <w:right w:val="single" w:sz="4" w:space="0" w:color="auto"/>
            </w:tcBorders>
            <w:noWrap/>
            <w:vAlign w:val="center"/>
            <w:hideMark/>
          </w:tcPr>
          <w:p w14:paraId="32CA167A" w14:textId="77777777" w:rsidR="000C6E07" w:rsidRPr="000C6E07" w:rsidRDefault="000C6E07" w:rsidP="000C6E07">
            <w:pPr>
              <w:spacing w:after="0"/>
              <w:jc w:val="center"/>
              <w:rPr>
                <w:b/>
                <w:bCs/>
                <w:i/>
                <w:iCs/>
                <w:sz w:val="20"/>
                <w:szCs w:val="20"/>
                <w:lang w:val="ro-RO"/>
              </w:rPr>
            </w:pPr>
            <w:r w:rsidRPr="000C6E07">
              <w:rPr>
                <w:b/>
                <w:bCs/>
                <w:i/>
                <w:iCs/>
                <w:sz w:val="20"/>
                <w:szCs w:val="20"/>
                <w:lang w:val="ro-RO"/>
              </w:rPr>
              <w:t>2022</w:t>
            </w:r>
          </w:p>
        </w:tc>
        <w:tc>
          <w:tcPr>
            <w:tcW w:w="956" w:type="dxa"/>
            <w:tcBorders>
              <w:top w:val="single" w:sz="4" w:space="0" w:color="auto"/>
              <w:left w:val="nil"/>
              <w:bottom w:val="single" w:sz="4" w:space="0" w:color="auto"/>
              <w:right w:val="single" w:sz="4" w:space="0" w:color="auto"/>
            </w:tcBorders>
            <w:noWrap/>
            <w:vAlign w:val="center"/>
            <w:hideMark/>
          </w:tcPr>
          <w:p w14:paraId="0DCD21E3" w14:textId="77777777" w:rsidR="000C6E07" w:rsidRPr="000C6E07" w:rsidRDefault="000C6E07" w:rsidP="000C6E07">
            <w:pPr>
              <w:spacing w:after="0"/>
              <w:jc w:val="center"/>
              <w:rPr>
                <w:b/>
                <w:bCs/>
                <w:i/>
                <w:iCs/>
                <w:sz w:val="20"/>
                <w:szCs w:val="20"/>
                <w:lang w:val="ro-RO"/>
              </w:rPr>
            </w:pPr>
            <w:r w:rsidRPr="000C6E07">
              <w:rPr>
                <w:b/>
                <w:bCs/>
                <w:i/>
                <w:iCs/>
                <w:sz w:val="20"/>
                <w:szCs w:val="20"/>
                <w:lang w:val="ro-RO"/>
              </w:rPr>
              <w:t>2023</w:t>
            </w:r>
          </w:p>
        </w:tc>
        <w:tc>
          <w:tcPr>
            <w:tcW w:w="957" w:type="dxa"/>
            <w:tcBorders>
              <w:top w:val="single" w:sz="4" w:space="0" w:color="auto"/>
              <w:left w:val="nil"/>
              <w:bottom w:val="single" w:sz="4" w:space="0" w:color="auto"/>
              <w:right w:val="single" w:sz="4" w:space="0" w:color="auto"/>
            </w:tcBorders>
            <w:noWrap/>
            <w:vAlign w:val="center"/>
            <w:hideMark/>
          </w:tcPr>
          <w:p w14:paraId="1199B398" w14:textId="77777777" w:rsidR="000C6E07" w:rsidRPr="000C6E07" w:rsidRDefault="000C6E07" w:rsidP="000C6E07">
            <w:pPr>
              <w:spacing w:after="0"/>
              <w:jc w:val="center"/>
              <w:rPr>
                <w:b/>
                <w:bCs/>
                <w:i/>
                <w:iCs/>
                <w:sz w:val="20"/>
                <w:szCs w:val="20"/>
                <w:lang w:val="ro-RO"/>
              </w:rPr>
            </w:pPr>
            <w:r w:rsidRPr="000C6E07">
              <w:rPr>
                <w:b/>
                <w:bCs/>
                <w:i/>
                <w:iCs/>
                <w:sz w:val="20"/>
                <w:szCs w:val="20"/>
                <w:lang w:val="ro-RO"/>
              </w:rPr>
              <w:t>2024</w:t>
            </w:r>
          </w:p>
        </w:tc>
      </w:tr>
      <w:tr w:rsidR="000C6E07" w:rsidRPr="000C6E07" w14:paraId="13EE0FD6"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noWrap/>
            <w:vAlign w:val="center"/>
            <w:hideMark/>
          </w:tcPr>
          <w:p w14:paraId="15F51911" w14:textId="77777777" w:rsidR="000C6E07" w:rsidRPr="000C6E07" w:rsidRDefault="000C6E07" w:rsidP="000C6E07">
            <w:pPr>
              <w:spacing w:after="0"/>
              <w:jc w:val="both"/>
              <w:rPr>
                <w:sz w:val="20"/>
                <w:szCs w:val="20"/>
                <w:lang w:val="ro-RO"/>
              </w:rPr>
            </w:pPr>
            <w:r w:rsidRPr="000C6E07">
              <w:rPr>
                <w:sz w:val="20"/>
                <w:szCs w:val="20"/>
                <w:lang w:val="ro-RO"/>
              </w:rPr>
              <w:t>Demisie</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76CF68A8" w14:textId="77777777" w:rsidR="000C6E07" w:rsidRPr="000C6E07" w:rsidRDefault="000C6E07" w:rsidP="000C6E07">
            <w:pPr>
              <w:spacing w:after="0"/>
              <w:jc w:val="center"/>
              <w:rPr>
                <w:sz w:val="20"/>
                <w:szCs w:val="20"/>
                <w:lang w:val="ro-RO"/>
              </w:rPr>
            </w:pPr>
            <w:r w:rsidRPr="000C6E07">
              <w:rPr>
                <w:sz w:val="20"/>
                <w:szCs w:val="20"/>
                <w:lang w:val="ro-RO" w:eastAsia="ro-RO"/>
              </w:rPr>
              <w:t>420</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0DEED9D0" w14:textId="77777777" w:rsidR="000C6E07" w:rsidRPr="000C6E07" w:rsidRDefault="000C6E07" w:rsidP="000C6E07">
            <w:pPr>
              <w:spacing w:after="0"/>
              <w:jc w:val="center"/>
              <w:rPr>
                <w:sz w:val="20"/>
                <w:szCs w:val="20"/>
                <w:lang w:val="ro-RO"/>
              </w:rPr>
            </w:pPr>
            <w:r w:rsidRPr="000C6E07">
              <w:rPr>
                <w:sz w:val="20"/>
                <w:szCs w:val="20"/>
                <w:lang w:val="ro-RO" w:eastAsia="ro-RO"/>
              </w:rPr>
              <w:t>559</w:t>
            </w:r>
          </w:p>
        </w:tc>
        <w:tc>
          <w:tcPr>
            <w:tcW w:w="956" w:type="dxa"/>
            <w:tcBorders>
              <w:top w:val="nil"/>
              <w:left w:val="nil"/>
              <w:bottom w:val="single" w:sz="4" w:space="0" w:color="auto"/>
              <w:right w:val="single" w:sz="4" w:space="0" w:color="auto"/>
            </w:tcBorders>
            <w:shd w:val="clear" w:color="000000" w:fill="FFFFFF"/>
            <w:noWrap/>
            <w:vAlign w:val="center"/>
            <w:hideMark/>
          </w:tcPr>
          <w:p w14:paraId="1F26BFE1" w14:textId="77777777" w:rsidR="000C6E07" w:rsidRPr="000C6E07" w:rsidRDefault="000C6E07" w:rsidP="000C6E07">
            <w:pPr>
              <w:spacing w:after="0"/>
              <w:jc w:val="center"/>
              <w:rPr>
                <w:sz w:val="20"/>
                <w:szCs w:val="20"/>
                <w:lang w:val="ro-RO"/>
              </w:rPr>
            </w:pPr>
            <w:r w:rsidRPr="000C6E07">
              <w:rPr>
                <w:sz w:val="20"/>
                <w:szCs w:val="20"/>
                <w:lang w:val="ro-RO"/>
              </w:rPr>
              <w:t>759</w:t>
            </w:r>
          </w:p>
        </w:tc>
        <w:tc>
          <w:tcPr>
            <w:tcW w:w="956" w:type="dxa"/>
            <w:tcBorders>
              <w:top w:val="nil"/>
              <w:left w:val="nil"/>
              <w:bottom w:val="single" w:sz="4" w:space="0" w:color="auto"/>
              <w:right w:val="single" w:sz="4" w:space="0" w:color="auto"/>
            </w:tcBorders>
            <w:shd w:val="clear" w:color="000000" w:fill="FFFFFF"/>
            <w:noWrap/>
            <w:vAlign w:val="center"/>
            <w:hideMark/>
          </w:tcPr>
          <w:p w14:paraId="2C9BE0DF" w14:textId="77777777" w:rsidR="000C6E07" w:rsidRPr="000C6E07" w:rsidRDefault="000C6E07" w:rsidP="000C6E07">
            <w:pPr>
              <w:spacing w:after="0"/>
              <w:jc w:val="center"/>
              <w:rPr>
                <w:sz w:val="20"/>
                <w:szCs w:val="20"/>
                <w:lang w:val="ro-RO"/>
              </w:rPr>
            </w:pPr>
            <w:r w:rsidRPr="000C6E07">
              <w:rPr>
                <w:sz w:val="20"/>
                <w:szCs w:val="20"/>
                <w:lang w:val="ro-RO"/>
              </w:rPr>
              <w:t>623</w:t>
            </w:r>
          </w:p>
        </w:tc>
        <w:tc>
          <w:tcPr>
            <w:tcW w:w="957" w:type="dxa"/>
            <w:tcBorders>
              <w:top w:val="nil"/>
              <w:left w:val="nil"/>
              <w:bottom w:val="single" w:sz="4" w:space="0" w:color="auto"/>
              <w:right w:val="single" w:sz="4" w:space="0" w:color="auto"/>
            </w:tcBorders>
            <w:shd w:val="clear" w:color="000000" w:fill="FFFFFF"/>
            <w:noWrap/>
            <w:vAlign w:val="center"/>
            <w:hideMark/>
          </w:tcPr>
          <w:p w14:paraId="730EA573" w14:textId="77777777" w:rsidR="000C6E07" w:rsidRPr="000C6E07" w:rsidRDefault="000C6E07" w:rsidP="000C6E07">
            <w:pPr>
              <w:spacing w:after="0"/>
              <w:jc w:val="center"/>
              <w:rPr>
                <w:sz w:val="20"/>
                <w:szCs w:val="20"/>
                <w:lang w:val="ro-RO"/>
              </w:rPr>
            </w:pPr>
            <w:r w:rsidRPr="000C6E07">
              <w:rPr>
                <w:sz w:val="20"/>
                <w:szCs w:val="20"/>
                <w:lang w:val="ro-RO"/>
              </w:rPr>
              <w:t>501</w:t>
            </w:r>
          </w:p>
        </w:tc>
      </w:tr>
      <w:tr w:rsidR="000C6E07" w:rsidRPr="000C6E07" w14:paraId="14331038" w14:textId="77777777" w:rsidTr="000C6E07">
        <w:trPr>
          <w:trHeight w:val="52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2EE23D50" w14:textId="77777777" w:rsidR="000C6E07" w:rsidRPr="000C6E07" w:rsidRDefault="000C6E07" w:rsidP="000C6E07">
            <w:pPr>
              <w:spacing w:after="0"/>
              <w:jc w:val="both"/>
              <w:rPr>
                <w:sz w:val="20"/>
                <w:szCs w:val="20"/>
                <w:lang w:val="ro-RO"/>
              </w:rPr>
            </w:pPr>
            <w:r w:rsidRPr="000C6E07">
              <w:rPr>
                <w:sz w:val="20"/>
                <w:szCs w:val="20"/>
                <w:lang w:val="ro-RO"/>
              </w:rPr>
              <w:t>Acumularea vechimii în muncă ce permite dreptul la pensie, cu excepțiile stabilite în lege</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38570539" w14:textId="77777777" w:rsidR="000C6E07" w:rsidRPr="000C6E07" w:rsidRDefault="000C6E07" w:rsidP="000C6E07">
            <w:pPr>
              <w:spacing w:after="0"/>
              <w:jc w:val="center"/>
              <w:rPr>
                <w:sz w:val="20"/>
                <w:szCs w:val="20"/>
                <w:lang w:val="ro-RO"/>
              </w:rPr>
            </w:pPr>
            <w:r w:rsidRPr="000C6E07">
              <w:rPr>
                <w:sz w:val="20"/>
                <w:szCs w:val="20"/>
                <w:lang w:val="ro-RO" w:eastAsia="ro-RO"/>
              </w:rPr>
              <w:t>208</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7D702967" w14:textId="77777777" w:rsidR="000C6E07" w:rsidRPr="000C6E07" w:rsidRDefault="000C6E07" w:rsidP="000C6E07">
            <w:pPr>
              <w:spacing w:after="0"/>
              <w:jc w:val="center"/>
              <w:rPr>
                <w:sz w:val="20"/>
                <w:szCs w:val="20"/>
                <w:lang w:val="ro-RO"/>
              </w:rPr>
            </w:pPr>
            <w:r w:rsidRPr="000C6E07">
              <w:rPr>
                <w:sz w:val="20"/>
                <w:szCs w:val="20"/>
                <w:lang w:val="ro-RO" w:eastAsia="ro-RO"/>
              </w:rPr>
              <w:t>248</w:t>
            </w:r>
          </w:p>
        </w:tc>
        <w:tc>
          <w:tcPr>
            <w:tcW w:w="956" w:type="dxa"/>
            <w:tcBorders>
              <w:top w:val="nil"/>
              <w:left w:val="nil"/>
              <w:bottom w:val="single" w:sz="4" w:space="0" w:color="auto"/>
              <w:right w:val="single" w:sz="4" w:space="0" w:color="auto"/>
            </w:tcBorders>
            <w:shd w:val="clear" w:color="000000" w:fill="FFFFFF"/>
            <w:noWrap/>
            <w:vAlign w:val="center"/>
            <w:hideMark/>
          </w:tcPr>
          <w:p w14:paraId="52F1627B" w14:textId="77777777" w:rsidR="000C6E07" w:rsidRPr="000C6E07" w:rsidRDefault="000C6E07" w:rsidP="000C6E07">
            <w:pPr>
              <w:spacing w:after="0"/>
              <w:jc w:val="center"/>
              <w:rPr>
                <w:sz w:val="20"/>
                <w:szCs w:val="20"/>
                <w:lang w:val="ro-RO"/>
              </w:rPr>
            </w:pPr>
            <w:r w:rsidRPr="000C6E07">
              <w:rPr>
                <w:sz w:val="20"/>
                <w:szCs w:val="20"/>
                <w:lang w:val="ro-RO"/>
              </w:rPr>
              <w:t>305</w:t>
            </w:r>
          </w:p>
        </w:tc>
        <w:tc>
          <w:tcPr>
            <w:tcW w:w="956" w:type="dxa"/>
            <w:tcBorders>
              <w:top w:val="nil"/>
              <w:left w:val="nil"/>
              <w:bottom w:val="single" w:sz="4" w:space="0" w:color="auto"/>
              <w:right w:val="single" w:sz="4" w:space="0" w:color="auto"/>
            </w:tcBorders>
            <w:shd w:val="clear" w:color="000000" w:fill="FFFFFF"/>
            <w:noWrap/>
            <w:vAlign w:val="center"/>
            <w:hideMark/>
          </w:tcPr>
          <w:p w14:paraId="115BF183" w14:textId="77777777" w:rsidR="000C6E07" w:rsidRPr="000C6E07" w:rsidRDefault="000C6E07" w:rsidP="000C6E07">
            <w:pPr>
              <w:spacing w:after="0"/>
              <w:jc w:val="center"/>
              <w:rPr>
                <w:sz w:val="20"/>
                <w:szCs w:val="20"/>
                <w:lang w:val="ro-RO"/>
              </w:rPr>
            </w:pPr>
            <w:r w:rsidRPr="000C6E07">
              <w:rPr>
                <w:sz w:val="20"/>
                <w:szCs w:val="20"/>
                <w:lang w:val="ro-RO"/>
              </w:rPr>
              <w:t>396</w:t>
            </w:r>
          </w:p>
        </w:tc>
        <w:tc>
          <w:tcPr>
            <w:tcW w:w="957" w:type="dxa"/>
            <w:tcBorders>
              <w:top w:val="nil"/>
              <w:left w:val="nil"/>
              <w:bottom w:val="single" w:sz="4" w:space="0" w:color="auto"/>
              <w:right w:val="single" w:sz="4" w:space="0" w:color="auto"/>
            </w:tcBorders>
            <w:shd w:val="clear" w:color="000000" w:fill="FFFFFF"/>
            <w:noWrap/>
            <w:vAlign w:val="center"/>
            <w:hideMark/>
          </w:tcPr>
          <w:p w14:paraId="0F4CE67D" w14:textId="77777777" w:rsidR="000C6E07" w:rsidRPr="000C6E07" w:rsidRDefault="000C6E07" w:rsidP="000C6E07">
            <w:pPr>
              <w:spacing w:after="0"/>
              <w:jc w:val="center"/>
              <w:rPr>
                <w:sz w:val="20"/>
                <w:szCs w:val="20"/>
                <w:lang w:val="ro-RO"/>
              </w:rPr>
            </w:pPr>
            <w:r w:rsidRPr="000C6E07">
              <w:rPr>
                <w:sz w:val="20"/>
                <w:szCs w:val="20"/>
                <w:lang w:val="ro-RO"/>
              </w:rPr>
              <w:t>175</w:t>
            </w:r>
          </w:p>
        </w:tc>
      </w:tr>
      <w:tr w:rsidR="000C6E07" w:rsidRPr="000C6E07" w14:paraId="1EBBA915"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060200C6" w14:textId="77777777" w:rsidR="000C6E07" w:rsidRPr="000C6E07" w:rsidRDefault="000C6E07" w:rsidP="000C6E07">
            <w:pPr>
              <w:spacing w:after="0"/>
              <w:jc w:val="both"/>
              <w:rPr>
                <w:sz w:val="20"/>
                <w:szCs w:val="20"/>
                <w:lang w:val="ro-RO"/>
              </w:rPr>
            </w:pPr>
            <w:r w:rsidRPr="000C6E07">
              <w:rPr>
                <w:sz w:val="20"/>
                <w:szCs w:val="20"/>
                <w:lang w:val="ro-RO"/>
              </w:rPr>
              <w:t>Concedieri</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15E469E6" w14:textId="77777777" w:rsidR="000C6E07" w:rsidRPr="000C6E07" w:rsidRDefault="000C6E07" w:rsidP="000C6E07">
            <w:pPr>
              <w:spacing w:after="0"/>
              <w:jc w:val="center"/>
              <w:rPr>
                <w:sz w:val="20"/>
                <w:szCs w:val="20"/>
                <w:lang w:val="ro-RO"/>
              </w:rPr>
            </w:pPr>
            <w:r w:rsidRPr="000C6E07">
              <w:rPr>
                <w:sz w:val="20"/>
                <w:szCs w:val="20"/>
                <w:lang w:val="ro-RO" w:eastAsia="ro-RO"/>
              </w:rPr>
              <w:t>23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76BF5858" w14:textId="77777777" w:rsidR="000C6E07" w:rsidRPr="000C6E07" w:rsidRDefault="000C6E07" w:rsidP="000C6E07">
            <w:pPr>
              <w:spacing w:after="0"/>
              <w:jc w:val="center"/>
              <w:rPr>
                <w:sz w:val="20"/>
                <w:szCs w:val="20"/>
                <w:lang w:val="ro-RO"/>
              </w:rPr>
            </w:pPr>
            <w:r w:rsidRPr="000C6E07">
              <w:rPr>
                <w:sz w:val="20"/>
                <w:szCs w:val="20"/>
                <w:lang w:val="ro-RO" w:eastAsia="ro-RO"/>
              </w:rPr>
              <w:t>31</w:t>
            </w:r>
          </w:p>
        </w:tc>
        <w:tc>
          <w:tcPr>
            <w:tcW w:w="956" w:type="dxa"/>
            <w:tcBorders>
              <w:top w:val="nil"/>
              <w:left w:val="nil"/>
              <w:bottom w:val="single" w:sz="4" w:space="0" w:color="auto"/>
              <w:right w:val="single" w:sz="4" w:space="0" w:color="auto"/>
            </w:tcBorders>
            <w:shd w:val="clear" w:color="000000" w:fill="FFFFFF"/>
            <w:noWrap/>
            <w:vAlign w:val="center"/>
            <w:hideMark/>
          </w:tcPr>
          <w:p w14:paraId="25AD263A" w14:textId="77777777" w:rsidR="000C6E07" w:rsidRPr="000C6E07" w:rsidRDefault="000C6E07" w:rsidP="000C6E07">
            <w:pPr>
              <w:spacing w:after="0"/>
              <w:jc w:val="center"/>
              <w:rPr>
                <w:sz w:val="20"/>
                <w:szCs w:val="20"/>
                <w:lang w:val="ro-RO"/>
              </w:rPr>
            </w:pPr>
            <w:r w:rsidRPr="000C6E07">
              <w:rPr>
                <w:sz w:val="20"/>
                <w:szCs w:val="20"/>
                <w:lang w:val="ro-RO"/>
              </w:rPr>
              <w:t>0</w:t>
            </w:r>
          </w:p>
        </w:tc>
        <w:tc>
          <w:tcPr>
            <w:tcW w:w="956" w:type="dxa"/>
            <w:tcBorders>
              <w:top w:val="nil"/>
              <w:left w:val="nil"/>
              <w:bottom w:val="single" w:sz="4" w:space="0" w:color="auto"/>
              <w:right w:val="single" w:sz="4" w:space="0" w:color="auto"/>
            </w:tcBorders>
            <w:shd w:val="clear" w:color="000000" w:fill="FFFFFF"/>
            <w:noWrap/>
            <w:vAlign w:val="center"/>
            <w:hideMark/>
          </w:tcPr>
          <w:p w14:paraId="7EA03517" w14:textId="77777777" w:rsidR="000C6E07" w:rsidRPr="000C6E07" w:rsidRDefault="000C6E07" w:rsidP="000C6E07">
            <w:pPr>
              <w:spacing w:after="0"/>
              <w:jc w:val="center"/>
              <w:rPr>
                <w:sz w:val="20"/>
                <w:szCs w:val="20"/>
                <w:lang w:val="ro-RO"/>
              </w:rPr>
            </w:pPr>
            <w:r w:rsidRPr="000C6E07">
              <w:rPr>
                <w:sz w:val="20"/>
                <w:szCs w:val="20"/>
                <w:lang w:val="ro-RO"/>
              </w:rPr>
              <w:t>1</w:t>
            </w:r>
          </w:p>
        </w:tc>
        <w:tc>
          <w:tcPr>
            <w:tcW w:w="957" w:type="dxa"/>
            <w:tcBorders>
              <w:top w:val="nil"/>
              <w:left w:val="nil"/>
              <w:bottom w:val="single" w:sz="4" w:space="0" w:color="auto"/>
              <w:right w:val="single" w:sz="4" w:space="0" w:color="auto"/>
            </w:tcBorders>
            <w:shd w:val="clear" w:color="000000" w:fill="FFFFFF"/>
            <w:noWrap/>
            <w:vAlign w:val="center"/>
            <w:hideMark/>
          </w:tcPr>
          <w:p w14:paraId="6321B222" w14:textId="77777777" w:rsidR="000C6E07" w:rsidRPr="000C6E07" w:rsidRDefault="000C6E07" w:rsidP="000C6E07">
            <w:pPr>
              <w:spacing w:after="0"/>
              <w:jc w:val="center"/>
              <w:rPr>
                <w:sz w:val="20"/>
                <w:szCs w:val="20"/>
                <w:lang w:val="ro-RO"/>
              </w:rPr>
            </w:pPr>
            <w:r w:rsidRPr="000C6E07">
              <w:rPr>
                <w:sz w:val="20"/>
                <w:szCs w:val="20"/>
                <w:lang w:val="ro-RO"/>
              </w:rPr>
              <w:t>1</w:t>
            </w:r>
          </w:p>
        </w:tc>
      </w:tr>
      <w:tr w:rsidR="000C6E07" w:rsidRPr="000C6E07" w14:paraId="248F4B33" w14:textId="77777777" w:rsidTr="000C6E07">
        <w:trPr>
          <w:trHeight w:val="52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20523F3B" w14:textId="77777777" w:rsidR="000C6E07" w:rsidRPr="000C6E07" w:rsidRDefault="000C6E07" w:rsidP="000C6E07">
            <w:pPr>
              <w:spacing w:after="0"/>
              <w:jc w:val="both"/>
              <w:rPr>
                <w:sz w:val="20"/>
                <w:szCs w:val="20"/>
                <w:lang w:val="ro-RO"/>
              </w:rPr>
            </w:pPr>
            <w:r w:rsidRPr="000C6E07">
              <w:rPr>
                <w:sz w:val="20"/>
                <w:szCs w:val="20"/>
                <w:lang w:val="ro-RO"/>
              </w:rPr>
              <w:t>Atingerea limitei de vârstă în serviciu, cu excepția cazului stabilit la art. 19 alin. (2)</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0E50818B" w14:textId="77777777" w:rsidR="000C6E07" w:rsidRPr="000C6E07" w:rsidRDefault="000C6E07" w:rsidP="000C6E07">
            <w:pPr>
              <w:spacing w:after="0"/>
              <w:jc w:val="center"/>
              <w:rPr>
                <w:sz w:val="20"/>
                <w:szCs w:val="20"/>
                <w:lang w:val="ro-RO"/>
              </w:rPr>
            </w:pPr>
            <w:r w:rsidRPr="000C6E07">
              <w:rPr>
                <w:sz w:val="20"/>
                <w:szCs w:val="20"/>
                <w:lang w:val="ro-RO" w:eastAsia="ro-RO"/>
              </w:rPr>
              <w:t>13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4186736F" w14:textId="77777777" w:rsidR="000C6E07" w:rsidRPr="000C6E07" w:rsidRDefault="000C6E07" w:rsidP="000C6E07">
            <w:pPr>
              <w:spacing w:after="0"/>
              <w:jc w:val="center"/>
              <w:rPr>
                <w:sz w:val="20"/>
                <w:szCs w:val="20"/>
                <w:lang w:val="ro-RO"/>
              </w:rPr>
            </w:pPr>
            <w:r w:rsidRPr="000C6E07">
              <w:rPr>
                <w:sz w:val="20"/>
                <w:szCs w:val="20"/>
                <w:lang w:val="ro-RO" w:eastAsia="ro-RO"/>
              </w:rPr>
              <w:t>21</w:t>
            </w:r>
          </w:p>
        </w:tc>
        <w:tc>
          <w:tcPr>
            <w:tcW w:w="956" w:type="dxa"/>
            <w:tcBorders>
              <w:top w:val="nil"/>
              <w:left w:val="nil"/>
              <w:bottom w:val="single" w:sz="4" w:space="0" w:color="auto"/>
              <w:right w:val="single" w:sz="4" w:space="0" w:color="auto"/>
            </w:tcBorders>
            <w:shd w:val="clear" w:color="000000" w:fill="FFFFFF"/>
            <w:noWrap/>
            <w:vAlign w:val="center"/>
            <w:hideMark/>
          </w:tcPr>
          <w:p w14:paraId="5E073D2B" w14:textId="77777777" w:rsidR="000C6E07" w:rsidRPr="000C6E07" w:rsidRDefault="000C6E07" w:rsidP="000C6E07">
            <w:pPr>
              <w:spacing w:after="0"/>
              <w:jc w:val="center"/>
              <w:rPr>
                <w:sz w:val="20"/>
                <w:szCs w:val="20"/>
                <w:lang w:val="ro-RO"/>
              </w:rPr>
            </w:pPr>
            <w:r w:rsidRPr="000C6E07">
              <w:rPr>
                <w:sz w:val="20"/>
                <w:szCs w:val="20"/>
                <w:lang w:val="ro-RO"/>
              </w:rPr>
              <w:t>17</w:t>
            </w:r>
          </w:p>
        </w:tc>
        <w:tc>
          <w:tcPr>
            <w:tcW w:w="956" w:type="dxa"/>
            <w:tcBorders>
              <w:top w:val="nil"/>
              <w:left w:val="nil"/>
              <w:bottom w:val="single" w:sz="4" w:space="0" w:color="auto"/>
              <w:right w:val="single" w:sz="4" w:space="0" w:color="auto"/>
            </w:tcBorders>
            <w:shd w:val="clear" w:color="000000" w:fill="FFFFFF"/>
            <w:noWrap/>
            <w:vAlign w:val="center"/>
            <w:hideMark/>
          </w:tcPr>
          <w:p w14:paraId="56C27E46" w14:textId="77777777" w:rsidR="000C6E07" w:rsidRPr="000C6E07" w:rsidRDefault="000C6E07" w:rsidP="000C6E07">
            <w:pPr>
              <w:spacing w:after="0"/>
              <w:jc w:val="center"/>
              <w:rPr>
                <w:sz w:val="20"/>
                <w:szCs w:val="20"/>
                <w:lang w:val="ro-RO"/>
              </w:rPr>
            </w:pPr>
            <w:r w:rsidRPr="000C6E07">
              <w:rPr>
                <w:sz w:val="20"/>
                <w:szCs w:val="20"/>
                <w:lang w:val="ro-RO"/>
              </w:rPr>
              <w:t>24</w:t>
            </w:r>
          </w:p>
        </w:tc>
        <w:tc>
          <w:tcPr>
            <w:tcW w:w="957" w:type="dxa"/>
            <w:tcBorders>
              <w:top w:val="nil"/>
              <w:left w:val="nil"/>
              <w:bottom w:val="single" w:sz="4" w:space="0" w:color="auto"/>
              <w:right w:val="single" w:sz="4" w:space="0" w:color="auto"/>
            </w:tcBorders>
            <w:shd w:val="clear" w:color="000000" w:fill="FFFFFF"/>
            <w:noWrap/>
            <w:vAlign w:val="center"/>
            <w:hideMark/>
          </w:tcPr>
          <w:p w14:paraId="7E733398" w14:textId="77777777" w:rsidR="000C6E07" w:rsidRPr="000C6E07" w:rsidRDefault="000C6E07" w:rsidP="000C6E07">
            <w:pPr>
              <w:spacing w:after="0"/>
              <w:jc w:val="center"/>
              <w:rPr>
                <w:sz w:val="20"/>
                <w:szCs w:val="20"/>
                <w:lang w:val="ro-RO"/>
              </w:rPr>
            </w:pPr>
            <w:r w:rsidRPr="000C6E07">
              <w:rPr>
                <w:sz w:val="20"/>
                <w:szCs w:val="20"/>
                <w:lang w:val="ro-RO"/>
              </w:rPr>
              <w:t>116</w:t>
            </w:r>
          </w:p>
        </w:tc>
      </w:tr>
      <w:tr w:rsidR="000C6E07" w:rsidRPr="000C6E07" w14:paraId="7C8F34C5"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2844BC78" w14:textId="77777777" w:rsidR="000C6E07" w:rsidRPr="000C6E07" w:rsidRDefault="000C6E07" w:rsidP="000C6E07">
            <w:pPr>
              <w:spacing w:after="0"/>
              <w:jc w:val="both"/>
              <w:rPr>
                <w:sz w:val="20"/>
                <w:szCs w:val="20"/>
                <w:lang w:val="ro-RO"/>
              </w:rPr>
            </w:pPr>
            <w:r w:rsidRPr="000C6E07">
              <w:rPr>
                <w:sz w:val="20"/>
                <w:szCs w:val="20"/>
                <w:lang w:val="ro-RO"/>
              </w:rPr>
              <w:t>Transferul la o altă autoritate publică</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6FFF125F" w14:textId="77777777" w:rsidR="000C6E07" w:rsidRPr="000C6E07" w:rsidRDefault="000C6E07" w:rsidP="000C6E07">
            <w:pPr>
              <w:spacing w:after="0"/>
              <w:jc w:val="center"/>
              <w:rPr>
                <w:sz w:val="20"/>
                <w:szCs w:val="20"/>
                <w:lang w:val="ro-RO"/>
              </w:rPr>
            </w:pPr>
            <w:r w:rsidRPr="000C6E07">
              <w:rPr>
                <w:sz w:val="20"/>
                <w:szCs w:val="20"/>
                <w:lang w:val="ro-RO" w:eastAsia="ro-RO"/>
              </w:rPr>
              <w:t>71</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2770AAFE" w14:textId="77777777" w:rsidR="000C6E07" w:rsidRPr="000C6E07" w:rsidRDefault="000C6E07" w:rsidP="000C6E07">
            <w:pPr>
              <w:spacing w:after="0"/>
              <w:jc w:val="center"/>
              <w:rPr>
                <w:sz w:val="20"/>
                <w:szCs w:val="20"/>
                <w:lang w:val="ro-RO"/>
              </w:rPr>
            </w:pPr>
            <w:r w:rsidRPr="000C6E07">
              <w:rPr>
                <w:sz w:val="20"/>
                <w:szCs w:val="20"/>
                <w:lang w:val="ro-RO" w:eastAsia="ro-RO"/>
              </w:rPr>
              <w:t>17</w:t>
            </w:r>
          </w:p>
        </w:tc>
        <w:tc>
          <w:tcPr>
            <w:tcW w:w="956" w:type="dxa"/>
            <w:tcBorders>
              <w:top w:val="nil"/>
              <w:left w:val="nil"/>
              <w:bottom w:val="single" w:sz="4" w:space="0" w:color="auto"/>
              <w:right w:val="single" w:sz="4" w:space="0" w:color="auto"/>
            </w:tcBorders>
            <w:shd w:val="clear" w:color="000000" w:fill="FFFFFF"/>
            <w:noWrap/>
            <w:vAlign w:val="center"/>
            <w:hideMark/>
          </w:tcPr>
          <w:p w14:paraId="285C9C14" w14:textId="77777777" w:rsidR="000C6E07" w:rsidRPr="000C6E07" w:rsidRDefault="000C6E07" w:rsidP="000C6E07">
            <w:pPr>
              <w:spacing w:after="0"/>
              <w:jc w:val="center"/>
              <w:rPr>
                <w:sz w:val="20"/>
                <w:szCs w:val="20"/>
                <w:lang w:val="ro-RO"/>
              </w:rPr>
            </w:pPr>
            <w:r w:rsidRPr="000C6E07">
              <w:rPr>
                <w:sz w:val="20"/>
                <w:szCs w:val="20"/>
                <w:lang w:val="ro-RO"/>
              </w:rPr>
              <w:t>46</w:t>
            </w:r>
          </w:p>
        </w:tc>
        <w:tc>
          <w:tcPr>
            <w:tcW w:w="956" w:type="dxa"/>
            <w:tcBorders>
              <w:top w:val="nil"/>
              <w:left w:val="nil"/>
              <w:bottom w:val="single" w:sz="4" w:space="0" w:color="auto"/>
              <w:right w:val="single" w:sz="4" w:space="0" w:color="auto"/>
            </w:tcBorders>
            <w:shd w:val="clear" w:color="000000" w:fill="FFFFFF"/>
            <w:noWrap/>
            <w:vAlign w:val="center"/>
            <w:hideMark/>
          </w:tcPr>
          <w:p w14:paraId="03DC81E3" w14:textId="77777777" w:rsidR="000C6E07" w:rsidRPr="000C6E07" w:rsidRDefault="000C6E07" w:rsidP="000C6E07">
            <w:pPr>
              <w:spacing w:after="0"/>
              <w:jc w:val="center"/>
              <w:rPr>
                <w:sz w:val="20"/>
                <w:szCs w:val="20"/>
                <w:lang w:val="ro-RO"/>
              </w:rPr>
            </w:pPr>
            <w:r w:rsidRPr="000C6E07">
              <w:rPr>
                <w:sz w:val="20"/>
                <w:szCs w:val="20"/>
                <w:lang w:val="ro-RO"/>
              </w:rPr>
              <w:t>32</w:t>
            </w:r>
          </w:p>
        </w:tc>
        <w:tc>
          <w:tcPr>
            <w:tcW w:w="957" w:type="dxa"/>
            <w:tcBorders>
              <w:top w:val="nil"/>
              <w:left w:val="nil"/>
              <w:bottom w:val="single" w:sz="4" w:space="0" w:color="auto"/>
              <w:right w:val="single" w:sz="4" w:space="0" w:color="auto"/>
            </w:tcBorders>
            <w:shd w:val="clear" w:color="000000" w:fill="FFFFFF"/>
            <w:noWrap/>
            <w:vAlign w:val="center"/>
            <w:hideMark/>
          </w:tcPr>
          <w:p w14:paraId="3D6F940B" w14:textId="77777777" w:rsidR="000C6E07" w:rsidRPr="000C6E07" w:rsidRDefault="000C6E07" w:rsidP="000C6E07">
            <w:pPr>
              <w:spacing w:after="0"/>
              <w:jc w:val="center"/>
              <w:rPr>
                <w:sz w:val="20"/>
                <w:szCs w:val="20"/>
                <w:lang w:val="ro-RO"/>
              </w:rPr>
            </w:pPr>
            <w:r w:rsidRPr="000C6E07">
              <w:rPr>
                <w:sz w:val="20"/>
                <w:szCs w:val="20"/>
                <w:lang w:val="ro-RO"/>
              </w:rPr>
              <w:t>17</w:t>
            </w:r>
          </w:p>
        </w:tc>
      </w:tr>
      <w:tr w:rsidR="000C6E07" w:rsidRPr="000C6E07" w14:paraId="51B74553" w14:textId="77777777" w:rsidTr="000C6E07">
        <w:trPr>
          <w:trHeight w:val="52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1CE87469" w14:textId="77777777" w:rsidR="000C6E07" w:rsidRPr="000C6E07" w:rsidRDefault="000C6E07" w:rsidP="000C6E07">
            <w:pPr>
              <w:spacing w:after="0"/>
              <w:jc w:val="both"/>
              <w:rPr>
                <w:sz w:val="20"/>
                <w:szCs w:val="20"/>
                <w:lang w:val="ro-RO"/>
              </w:rPr>
            </w:pPr>
            <w:r w:rsidRPr="000C6E07">
              <w:rPr>
                <w:sz w:val="20"/>
                <w:szCs w:val="20"/>
                <w:lang w:val="ro-RO"/>
              </w:rPr>
              <w:t>Încălcările repetate ale disciplinei de serviciu pe parcursul unui an sau comiterea unei încălcări grave</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1CC6A9F4" w14:textId="77777777" w:rsidR="000C6E07" w:rsidRPr="000C6E07" w:rsidRDefault="000C6E07" w:rsidP="000C6E07">
            <w:pPr>
              <w:spacing w:after="0"/>
              <w:jc w:val="center"/>
              <w:rPr>
                <w:sz w:val="20"/>
                <w:szCs w:val="20"/>
                <w:lang w:val="ro-RO"/>
              </w:rPr>
            </w:pPr>
            <w:r w:rsidRPr="000C6E07">
              <w:rPr>
                <w:sz w:val="20"/>
                <w:szCs w:val="20"/>
                <w:lang w:val="ro-RO" w:eastAsia="ro-RO"/>
              </w:rPr>
              <w:t>22</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0C72A5E6" w14:textId="77777777" w:rsidR="000C6E07" w:rsidRPr="000C6E07" w:rsidRDefault="000C6E07" w:rsidP="000C6E07">
            <w:pPr>
              <w:spacing w:after="0"/>
              <w:jc w:val="center"/>
              <w:rPr>
                <w:sz w:val="20"/>
                <w:szCs w:val="20"/>
                <w:lang w:val="ro-RO"/>
              </w:rPr>
            </w:pPr>
            <w:r w:rsidRPr="000C6E07">
              <w:rPr>
                <w:sz w:val="20"/>
                <w:szCs w:val="20"/>
                <w:lang w:val="ro-RO" w:eastAsia="ro-RO"/>
              </w:rPr>
              <w:t>15</w:t>
            </w:r>
          </w:p>
        </w:tc>
        <w:tc>
          <w:tcPr>
            <w:tcW w:w="956" w:type="dxa"/>
            <w:tcBorders>
              <w:top w:val="nil"/>
              <w:left w:val="nil"/>
              <w:bottom w:val="single" w:sz="4" w:space="0" w:color="auto"/>
              <w:right w:val="single" w:sz="4" w:space="0" w:color="auto"/>
            </w:tcBorders>
            <w:shd w:val="clear" w:color="000000" w:fill="FFFFFF"/>
            <w:noWrap/>
            <w:vAlign w:val="center"/>
            <w:hideMark/>
          </w:tcPr>
          <w:p w14:paraId="25531B22" w14:textId="77777777" w:rsidR="000C6E07" w:rsidRPr="000C6E07" w:rsidRDefault="000C6E07" w:rsidP="000C6E07">
            <w:pPr>
              <w:spacing w:after="0"/>
              <w:jc w:val="center"/>
              <w:rPr>
                <w:sz w:val="20"/>
                <w:szCs w:val="20"/>
                <w:lang w:val="ro-RO"/>
              </w:rPr>
            </w:pPr>
            <w:r w:rsidRPr="000C6E07">
              <w:rPr>
                <w:sz w:val="20"/>
                <w:szCs w:val="20"/>
                <w:lang w:val="ro-RO"/>
              </w:rPr>
              <w:t>34</w:t>
            </w:r>
          </w:p>
        </w:tc>
        <w:tc>
          <w:tcPr>
            <w:tcW w:w="956" w:type="dxa"/>
            <w:tcBorders>
              <w:top w:val="nil"/>
              <w:left w:val="nil"/>
              <w:bottom w:val="single" w:sz="4" w:space="0" w:color="auto"/>
              <w:right w:val="single" w:sz="4" w:space="0" w:color="auto"/>
            </w:tcBorders>
            <w:shd w:val="clear" w:color="000000" w:fill="FFFFFF"/>
            <w:noWrap/>
            <w:vAlign w:val="center"/>
            <w:hideMark/>
          </w:tcPr>
          <w:p w14:paraId="0044B222" w14:textId="77777777" w:rsidR="000C6E07" w:rsidRPr="000C6E07" w:rsidRDefault="000C6E07" w:rsidP="000C6E07">
            <w:pPr>
              <w:spacing w:after="0"/>
              <w:jc w:val="center"/>
              <w:rPr>
                <w:sz w:val="20"/>
                <w:szCs w:val="20"/>
                <w:lang w:val="ro-RO"/>
              </w:rPr>
            </w:pPr>
            <w:r w:rsidRPr="000C6E07">
              <w:rPr>
                <w:sz w:val="20"/>
                <w:szCs w:val="20"/>
                <w:lang w:val="ro-RO"/>
              </w:rPr>
              <w:t>24</w:t>
            </w:r>
          </w:p>
        </w:tc>
        <w:tc>
          <w:tcPr>
            <w:tcW w:w="957" w:type="dxa"/>
            <w:tcBorders>
              <w:top w:val="nil"/>
              <w:left w:val="nil"/>
              <w:bottom w:val="single" w:sz="4" w:space="0" w:color="auto"/>
              <w:right w:val="single" w:sz="4" w:space="0" w:color="auto"/>
            </w:tcBorders>
            <w:shd w:val="clear" w:color="000000" w:fill="FFFFFF"/>
            <w:noWrap/>
            <w:vAlign w:val="center"/>
            <w:hideMark/>
          </w:tcPr>
          <w:p w14:paraId="66728077" w14:textId="77777777" w:rsidR="000C6E07" w:rsidRPr="000C6E07" w:rsidRDefault="000C6E07" w:rsidP="000C6E07">
            <w:pPr>
              <w:spacing w:after="0"/>
              <w:jc w:val="center"/>
              <w:rPr>
                <w:sz w:val="20"/>
                <w:szCs w:val="20"/>
                <w:lang w:val="ro-RO"/>
              </w:rPr>
            </w:pPr>
            <w:r w:rsidRPr="000C6E07">
              <w:rPr>
                <w:sz w:val="20"/>
                <w:szCs w:val="20"/>
                <w:lang w:val="ro-RO"/>
              </w:rPr>
              <w:t>21</w:t>
            </w:r>
          </w:p>
        </w:tc>
      </w:tr>
      <w:tr w:rsidR="000C6E07" w:rsidRPr="000C6E07" w14:paraId="727F026F" w14:textId="77777777" w:rsidTr="000C6E07">
        <w:trPr>
          <w:trHeight w:val="52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7EEB5F2F" w14:textId="77777777" w:rsidR="000C6E07" w:rsidRPr="000C6E07" w:rsidRDefault="000C6E07" w:rsidP="000C6E07">
            <w:pPr>
              <w:spacing w:after="0"/>
              <w:jc w:val="both"/>
              <w:rPr>
                <w:sz w:val="20"/>
                <w:szCs w:val="20"/>
                <w:lang w:val="ro-RO"/>
              </w:rPr>
            </w:pPr>
            <w:r w:rsidRPr="000C6E07">
              <w:rPr>
                <w:sz w:val="20"/>
                <w:szCs w:val="20"/>
                <w:lang w:val="ro-RO"/>
              </w:rPr>
              <w:lastRenderedPageBreak/>
              <w:t>Condamnarea în baza unei sentințe judecătorești definitive, inclusiv în cazul intervenirii termenului</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26AF8CB4" w14:textId="77777777" w:rsidR="000C6E07" w:rsidRPr="000C6E07" w:rsidRDefault="000C6E07" w:rsidP="000C6E07">
            <w:pPr>
              <w:spacing w:after="0"/>
              <w:jc w:val="center"/>
              <w:rPr>
                <w:sz w:val="20"/>
                <w:szCs w:val="20"/>
                <w:lang w:val="ro-RO"/>
              </w:rPr>
            </w:pPr>
            <w:r w:rsidRPr="000C6E07">
              <w:rPr>
                <w:sz w:val="20"/>
                <w:szCs w:val="20"/>
                <w:lang w:val="ro-RO" w:eastAsia="ro-RO"/>
              </w:rPr>
              <w:t>6</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37B5AE55" w14:textId="77777777" w:rsidR="000C6E07" w:rsidRPr="000C6E07" w:rsidRDefault="000C6E07" w:rsidP="000C6E07">
            <w:pPr>
              <w:spacing w:after="0"/>
              <w:jc w:val="center"/>
              <w:rPr>
                <w:sz w:val="20"/>
                <w:szCs w:val="20"/>
                <w:lang w:val="ro-RO"/>
              </w:rPr>
            </w:pPr>
            <w:r w:rsidRPr="000C6E07">
              <w:rPr>
                <w:sz w:val="20"/>
                <w:szCs w:val="20"/>
                <w:lang w:val="ro-RO" w:eastAsia="ro-RO"/>
              </w:rPr>
              <w:t>8</w:t>
            </w:r>
          </w:p>
        </w:tc>
        <w:tc>
          <w:tcPr>
            <w:tcW w:w="956" w:type="dxa"/>
            <w:tcBorders>
              <w:top w:val="nil"/>
              <w:left w:val="nil"/>
              <w:bottom w:val="single" w:sz="4" w:space="0" w:color="auto"/>
              <w:right w:val="single" w:sz="4" w:space="0" w:color="auto"/>
            </w:tcBorders>
            <w:shd w:val="clear" w:color="000000" w:fill="FFFFFF"/>
            <w:noWrap/>
            <w:vAlign w:val="center"/>
            <w:hideMark/>
          </w:tcPr>
          <w:p w14:paraId="4FEDBDA8" w14:textId="77777777" w:rsidR="000C6E07" w:rsidRPr="000C6E07" w:rsidRDefault="000C6E07" w:rsidP="000C6E07">
            <w:pPr>
              <w:spacing w:after="0"/>
              <w:jc w:val="center"/>
              <w:rPr>
                <w:sz w:val="20"/>
                <w:szCs w:val="20"/>
                <w:lang w:val="ro-RO"/>
              </w:rPr>
            </w:pPr>
            <w:r w:rsidRPr="000C6E07">
              <w:rPr>
                <w:sz w:val="20"/>
                <w:szCs w:val="20"/>
                <w:lang w:val="ro-RO"/>
              </w:rPr>
              <w:t>4</w:t>
            </w:r>
          </w:p>
        </w:tc>
        <w:tc>
          <w:tcPr>
            <w:tcW w:w="956" w:type="dxa"/>
            <w:tcBorders>
              <w:top w:val="nil"/>
              <w:left w:val="nil"/>
              <w:bottom w:val="single" w:sz="4" w:space="0" w:color="auto"/>
              <w:right w:val="single" w:sz="4" w:space="0" w:color="auto"/>
            </w:tcBorders>
            <w:shd w:val="clear" w:color="000000" w:fill="FFFFFF"/>
            <w:noWrap/>
            <w:vAlign w:val="center"/>
            <w:hideMark/>
          </w:tcPr>
          <w:p w14:paraId="6E91BA82" w14:textId="77777777" w:rsidR="000C6E07" w:rsidRPr="000C6E07" w:rsidRDefault="000C6E07" w:rsidP="000C6E07">
            <w:pPr>
              <w:spacing w:after="0"/>
              <w:jc w:val="center"/>
              <w:rPr>
                <w:sz w:val="20"/>
                <w:szCs w:val="20"/>
                <w:lang w:val="ro-RO"/>
              </w:rPr>
            </w:pPr>
            <w:r w:rsidRPr="000C6E07">
              <w:rPr>
                <w:sz w:val="20"/>
                <w:szCs w:val="20"/>
                <w:lang w:val="ro-RO"/>
              </w:rPr>
              <w:t>5</w:t>
            </w:r>
          </w:p>
        </w:tc>
        <w:tc>
          <w:tcPr>
            <w:tcW w:w="957" w:type="dxa"/>
            <w:tcBorders>
              <w:top w:val="nil"/>
              <w:left w:val="nil"/>
              <w:bottom w:val="single" w:sz="4" w:space="0" w:color="auto"/>
              <w:right w:val="single" w:sz="4" w:space="0" w:color="auto"/>
            </w:tcBorders>
            <w:shd w:val="clear" w:color="000000" w:fill="FFFFFF"/>
            <w:noWrap/>
            <w:vAlign w:val="center"/>
            <w:hideMark/>
          </w:tcPr>
          <w:p w14:paraId="67ACFD51" w14:textId="77777777" w:rsidR="000C6E07" w:rsidRPr="000C6E07" w:rsidRDefault="000C6E07" w:rsidP="000C6E07">
            <w:pPr>
              <w:spacing w:after="0"/>
              <w:jc w:val="center"/>
              <w:rPr>
                <w:sz w:val="20"/>
                <w:szCs w:val="20"/>
                <w:lang w:val="ro-RO"/>
              </w:rPr>
            </w:pPr>
            <w:r w:rsidRPr="000C6E07">
              <w:rPr>
                <w:sz w:val="20"/>
                <w:szCs w:val="20"/>
                <w:lang w:val="ro-RO"/>
              </w:rPr>
              <w:t>2</w:t>
            </w:r>
          </w:p>
        </w:tc>
      </w:tr>
      <w:tr w:rsidR="000C6E07" w:rsidRPr="000C6E07" w14:paraId="3D3A8DE2"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0D8D5FC0" w14:textId="77777777" w:rsidR="000C6E07" w:rsidRPr="000C6E07" w:rsidRDefault="000C6E07" w:rsidP="000C6E07">
            <w:pPr>
              <w:spacing w:after="0"/>
              <w:jc w:val="both"/>
              <w:rPr>
                <w:sz w:val="20"/>
                <w:szCs w:val="20"/>
                <w:lang w:val="ro-RO"/>
              </w:rPr>
            </w:pPr>
            <w:r w:rsidRPr="000C6E07">
              <w:rPr>
                <w:sz w:val="20"/>
                <w:szCs w:val="20"/>
                <w:lang w:val="ro-RO"/>
              </w:rPr>
              <w:t>Deces</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039F134F" w14:textId="77777777" w:rsidR="000C6E07" w:rsidRPr="000C6E07" w:rsidRDefault="000C6E07" w:rsidP="000C6E07">
            <w:pPr>
              <w:spacing w:after="0"/>
              <w:jc w:val="center"/>
              <w:rPr>
                <w:sz w:val="20"/>
                <w:szCs w:val="20"/>
                <w:lang w:val="ro-RO"/>
              </w:rPr>
            </w:pPr>
            <w:r w:rsidRPr="000C6E07">
              <w:rPr>
                <w:sz w:val="20"/>
                <w:szCs w:val="20"/>
                <w:lang w:val="ro-RO" w:eastAsia="ro-RO"/>
              </w:rPr>
              <w:t>11</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08B466EA" w14:textId="77777777" w:rsidR="000C6E07" w:rsidRPr="000C6E07" w:rsidRDefault="000C6E07" w:rsidP="000C6E07">
            <w:pPr>
              <w:spacing w:after="0"/>
              <w:jc w:val="center"/>
              <w:rPr>
                <w:sz w:val="20"/>
                <w:szCs w:val="20"/>
                <w:lang w:val="ro-RO"/>
              </w:rPr>
            </w:pPr>
            <w:r w:rsidRPr="000C6E07">
              <w:rPr>
                <w:sz w:val="20"/>
                <w:szCs w:val="20"/>
                <w:lang w:val="ro-RO" w:eastAsia="ro-RO"/>
              </w:rPr>
              <w:t>6</w:t>
            </w:r>
          </w:p>
        </w:tc>
        <w:tc>
          <w:tcPr>
            <w:tcW w:w="956" w:type="dxa"/>
            <w:tcBorders>
              <w:top w:val="nil"/>
              <w:left w:val="nil"/>
              <w:bottom w:val="single" w:sz="4" w:space="0" w:color="auto"/>
              <w:right w:val="single" w:sz="4" w:space="0" w:color="auto"/>
            </w:tcBorders>
            <w:shd w:val="clear" w:color="000000" w:fill="FFFFFF"/>
            <w:noWrap/>
            <w:vAlign w:val="center"/>
            <w:hideMark/>
          </w:tcPr>
          <w:p w14:paraId="0BDCCEBE" w14:textId="77777777" w:rsidR="000C6E07" w:rsidRPr="000C6E07" w:rsidRDefault="000C6E07" w:rsidP="000C6E07">
            <w:pPr>
              <w:spacing w:after="0"/>
              <w:jc w:val="center"/>
              <w:rPr>
                <w:sz w:val="20"/>
                <w:szCs w:val="20"/>
                <w:lang w:val="ro-RO"/>
              </w:rPr>
            </w:pPr>
            <w:r w:rsidRPr="000C6E07">
              <w:rPr>
                <w:sz w:val="20"/>
                <w:szCs w:val="20"/>
                <w:lang w:val="ro-RO"/>
              </w:rPr>
              <w:t>9</w:t>
            </w:r>
          </w:p>
        </w:tc>
        <w:tc>
          <w:tcPr>
            <w:tcW w:w="956" w:type="dxa"/>
            <w:tcBorders>
              <w:top w:val="nil"/>
              <w:left w:val="nil"/>
              <w:bottom w:val="single" w:sz="4" w:space="0" w:color="auto"/>
              <w:right w:val="single" w:sz="4" w:space="0" w:color="auto"/>
            </w:tcBorders>
            <w:shd w:val="clear" w:color="000000" w:fill="FFFFFF"/>
            <w:noWrap/>
            <w:vAlign w:val="center"/>
            <w:hideMark/>
          </w:tcPr>
          <w:p w14:paraId="30F3F730" w14:textId="77777777" w:rsidR="000C6E07" w:rsidRPr="000C6E07" w:rsidRDefault="000C6E07" w:rsidP="000C6E07">
            <w:pPr>
              <w:spacing w:after="0"/>
              <w:jc w:val="center"/>
              <w:rPr>
                <w:sz w:val="20"/>
                <w:szCs w:val="20"/>
                <w:lang w:val="ro-RO"/>
              </w:rPr>
            </w:pPr>
            <w:r w:rsidRPr="000C6E07">
              <w:rPr>
                <w:sz w:val="20"/>
                <w:szCs w:val="20"/>
                <w:lang w:val="ro-RO"/>
              </w:rPr>
              <w:t>8</w:t>
            </w:r>
          </w:p>
        </w:tc>
        <w:tc>
          <w:tcPr>
            <w:tcW w:w="957" w:type="dxa"/>
            <w:tcBorders>
              <w:top w:val="nil"/>
              <w:left w:val="nil"/>
              <w:bottom w:val="single" w:sz="4" w:space="0" w:color="auto"/>
              <w:right w:val="single" w:sz="4" w:space="0" w:color="auto"/>
            </w:tcBorders>
            <w:shd w:val="clear" w:color="000000" w:fill="FFFFFF"/>
            <w:noWrap/>
            <w:vAlign w:val="center"/>
            <w:hideMark/>
          </w:tcPr>
          <w:p w14:paraId="1A5EADB4" w14:textId="77777777" w:rsidR="000C6E07" w:rsidRPr="000C6E07" w:rsidRDefault="000C6E07" w:rsidP="000C6E07">
            <w:pPr>
              <w:spacing w:after="0"/>
              <w:jc w:val="center"/>
              <w:rPr>
                <w:sz w:val="20"/>
                <w:szCs w:val="20"/>
                <w:lang w:val="ro-RO"/>
              </w:rPr>
            </w:pPr>
            <w:r w:rsidRPr="000C6E07">
              <w:rPr>
                <w:sz w:val="20"/>
                <w:szCs w:val="20"/>
                <w:lang w:val="ro-RO"/>
              </w:rPr>
              <w:t>4</w:t>
            </w:r>
          </w:p>
        </w:tc>
      </w:tr>
      <w:tr w:rsidR="000C6E07" w:rsidRPr="000C6E07" w14:paraId="4EE64197"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0A61F97C" w14:textId="77777777" w:rsidR="000C6E07" w:rsidRPr="000C6E07" w:rsidRDefault="000C6E07" w:rsidP="000C6E07">
            <w:pPr>
              <w:spacing w:after="0"/>
              <w:jc w:val="both"/>
              <w:rPr>
                <w:sz w:val="20"/>
                <w:szCs w:val="20"/>
                <w:lang w:val="ro-RO"/>
              </w:rPr>
            </w:pPr>
            <w:r w:rsidRPr="000C6E07">
              <w:rPr>
                <w:sz w:val="20"/>
                <w:szCs w:val="20"/>
                <w:lang w:val="ro-RO"/>
              </w:rPr>
              <w:t>Altele</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6BACD07A" w14:textId="77777777" w:rsidR="000C6E07" w:rsidRPr="000C6E07" w:rsidRDefault="000C6E07" w:rsidP="000C6E07">
            <w:pPr>
              <w:spacing w:after="0"/>
              <w:jc w:val="center"/>
              <w:rPr>
                <w:sz w:val="20"/>
                <w:szCs w:val="20"/>
                <w:lang w:val="ro-RO"/>
              </w:rPr>
            </w:pPr>
            <w:r w:rsidRPr="000C6E07">
              <w:rPr>
                <w:sz w:val="20"/>
                <w:szCs w:val="20"/>
                <w:lang w:val="ro-RO" w:eastAsia="ro-RO"/>
              </w:rPr>
              <w:t>73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5FC6CEA1" w14:textId="77777777" w:rsidR="000C6E07" w:rsidRPr="000C6E07" w:rsidRDefault="000C6E07" w:rsidP="000C6E07">
            <w:pPr>
              <w:spacing w:after="0"/>
              <w:jc w:val="center"/>
              <w:rPr>
                <w:sz w:val="20"/>
                <w:szCs w:val="20"/>
                <w:lang w:val="ro-RO"/>
              </w:rPr>
            </w:pPr>
            <w:r w:rsidRPr="000C6E07">
              <w:rPr>
                <w:sz w:val="20"/>
                <w:szCs w:val="20"/>
                <w:lang w:val="ro-RO" w:eastAsia="ro-RO"/>
              </w:rPr>
              <w:t>24</w:t>
            </w:r>
          </w:p>
        </w:tc>
        <w:tc>
          <w:tcPr>
            <w:tcW w:w="956" w:type="dxa"/>
            <w:tcBorders>
              <w:top w:val="nil"/>
              <w:left w:val="nil"/>
              <w:bottom w:val="single" w:sz="4" w:space="0" w:color="auto"/>
              <w:right w:val="single" w:sz="4" w:space="0" w:color="auto"/>
            </w:tcBorders>
            <w:shd w:val="clear" w:color="000000" w:fill="FFFFFF"/>
            <w:noWrap/>
            <w:vAlign w:val="center"/>
            <w:hideMark/>
          </w:tcPr>
          <w:p w14:paraId="68F1EF7F" w14:textId="77777777" w:rsidR="000C6E07" w:rsidRPr="000C6E07" w:rsidRDefault="000C6E07" w:rsidP="000C6E07">
            <w:pPr>
              <w:spacing w:after="0"/>
              <w:jc w:val="center"/>
              <w:rPr>
                <w:sz w:val="20"/>
                <w:szCs w:val="20"/>
                <w:lang w:val="ro-RO"/>
              </w:rPr>
            </w:pPr>
            <w:r w:rsidRPr="000C6E07">
              <w:rPr>
                <w:sz w:val="20"/>
                <w:szCs w:val="20"/>
                <w:lang w:val="ro-RO"/>
              </w:rPr>
              <w:t>25</w:t>
            </w:r>
          </w:p>
        </w:tc>
        <w:tc>
          <w:tcPr>
            <w:tcW w:w="956" w:type="dxa"/>
            <w:tcBorders>
              <w:top w:val="nil"/>
              <w:left w:val="nil"/>
              <w:bottom w:val="single" w:sz="4" w:space="0" w:color="auto"/>
              <w:right w:val="single" w:sz="4" w:space="0" w:color="auto"/>
            </w:tcBorders>
            <w:shd w:val="clear" w:color="000000" w:fill="FFFFFF"/>
            <w:noWrap/>
            <w:vAlign w:val="center"/>
            <w:hideMark/>
          </w:tcPr>
          <w:p w14:paraId="247DC264" w14:textId="77777777" w:rsidR="000C6E07" w:rsidRPr="000C6E07" w:rsidRDefault="000C6E07" w:rsidP="000C6E07">
            <w:pPr>
              <w:spacing w:after="0"/>
              <w:jc w:val="center"/>
              <w:rPr>
                <w:sz w:val="20"/>
                <w:szCs w:val="20"/>
                <w:lang w:val="ro-RO"/>
              </w:rPr>
            </w:pPr>
            <w:r w:rsidRPr="000C6E07">
              <w:rPr>
                <w:sz w:val="20"/>
                <w:szCs w:val="20"/>
                <w:lang w:val="ro-RO"/>
              </w:rPr>
              <w:t>23</w:t>
            </w:r>
          </w:p>
        </w:tc>
        <w:tc>
          <w:tcPr>
            <w:tcW w:w="957" w:type="dxa"/>
            <w:tcBorders>
              <w:top w:val="nil"/>
              <w:left w:val="nil"/>
              <w:bottom w:val="single" w:sz="4" w:space="0" w:color="auto"/>
              <w:right w:val="single" w:sz="4" w:space="0" w:color="auto"/>
            </w:tcBorders>
            <w:shd w:val="clear" w:color="000000" w:fill="FFFFFF"/>
            <w:noWrap/>
            <w:vAlign w:val="center"/>
            <w:hideMark/>
          </w:tcPr>
          <w:p w14:paraId="07973559" w14:textId="77777777" w:rsidR="000C6E07" w:rsidRPr="000C6E07" w:rsidRDefault="000C6E07" w:rsidP="000C6E07">
            <w:pPr>
              <w:spacing w:after="0"/>
              <w:jc w:val="center"/>
              <w:rPr>
                <w:sz w:val="20"/>
                <w:szCs w:val="20"/>
                <w:lang w:val="ro-RO"/>
              </w:rPr>
            </w:pPr>
            <w:r w:rsidRPr="000C6E07">
              <w:rPr>
                <w:sz w:val="20"/>
                <w:szCs w:val="20"/>
                <w:lang w:val="ro-RO"/>
              </w:rPr>
              <w:t>16</w:t>
            </w:r>
          </w:p>
        </w:tc>
      </w:tr>
      <w:tr w:rsidR="000C6E07" w:rsidRPr="000C6E07" w14:paraId="6F23CA95"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726F28C6" w14:textId="77777777" w:rsidR="000C6E07" w:rsidRPr="000C6E07" w:rsidRDefault="000C6E07" w:rsidP="000C6E07">
            <w:pPr>
              <w:spacing w:after="0"/>
              <w:jc w:val="both"/>
              <w:rPr>
                <w:b/>
                <w:bCs/>
                <w:sz w:val="20"/>
                <w:szCs w:val="20"/>
                <w:lang w:val="ro-RO"/>
              </w:rPr>
            </w:pPr>
            <w:r w:rsidRPr="000C6E07">
              <w:rPr>
                <w:b/>
                <w:color w:val="000000"/>
                <w:sz w:val="20"/>
                <w:szCs w:val="20"/>
                <w:lang w:val="ro-RO" w:eastAsia="ro-RO"/>
              </w:rPr>
              <w:t>Total raporturi de serviciu încetate</w:t>
            </w:r>
          </w:p>
        </w:tc>
        <w:tc>
          <w:tcPr>
            <w:tcW w:w="956" w:type="dxa"/>
            <w:tcBorders>
              <w:top w:val="single" w:sz="4" w:space="0" w:color="auto"/>
              <w:left w:val="nil"/>
              <w:bottom w:val="single" w:sz="4" w:space="0" w:color="auto"/>
              <w:right w:val="single" w:sz="4" w:space="0" w:color="auto"/>
            </w:tcBorders>
            <w:shd w:val="clear" w:color="000000" w:fill="FFFFFF"/>
            <w:vAlign w:val="center"/>
          </w:tcPr>
          <w:p w14:paraId="2D7C3BDA" w14:textId="77777777" w:rsidR="000C6E07" w:rsidRPr="000C6E07" w:rsidRDefault="000C6E07" w:rsidP="000C6E07">
            <w:pPr>
              <w:spacing w:after="0"/>
              <w:jc w:val="center"/>
              <w:rPr>
                <w:b/>
                <w:bCs/>
                <w:sz w:val="20"/>
                <w:szCs w:val="20"/>
                <w:lang w:val="ro-RO"/>
              </w:rPr>
            </w:pPr>
            <w:r w:rsidRPr="000C6E07">
              <w:rPr>
                <w:b/>
                <w:bCs/>
                <w:sz w:val="20"/>
                <w:szCs w:val="20"/>
                <w:lang w:val="ro-RO"/>
              </w:rPr>
              <w:t>847</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14:paraId="1210E0DB" w14:textId="77777777" w:rsidR="000C6E07" w:rsidRPr="000C6E07" w:rsidRDefault="000C6E07" w:rsidP="000C6E07">
            <w:pPr>
              <w:spacing w:after="0"/>
              <w:jc w:val="center"/>
              <w:rPr>
                <w:b/>
                <w:bCs/>
                <w:sz w:val="20"/>
                <w:szCs w:val="20"/>
                <w:lang w:val="ro-RO"/>
              </w:rPr>
            </w:pPr>
            <w:r w:rsidRPr="000C6E07">
              <w:rPr>
                <w:b/>
                <w:bCs/>
                <w:sz w:val="20"/>
                <w:szCs w:val="20"/>
                <w:lang w:val="ro-RO"/>
              </w:rPr>
              <w:t>929</w:t>
            </w:r>
          </w:p>
        </w:tc>
        <w:tc>
          <w:tcPr>
            <w:tcW w:w="956" w:type="dxa"/>
            <w:tcBorders>
              <w:top w:val="nil"/>
              <w:left w:val="nil"/>
              <w:bottom w:val="single" w:sz="4" w:space="0" w:color="auto"/>
              <w:right w:val="single" w:sz="4" w:space="0" w:color="auto"/>
            </w:tcBorders>
            <w:shd w:val="clear" w:color="000000" w:fill="FFFFFF"/>
            <w:noWrap/>
            <w:vAlign w:val="center"/>
            <w:hideMark/>
          </w:tcPr>
          <w:p w14:paraId="2C8EF00D" w14:textId="77777777" w:rsidR="000C6E07" w:rsidRPr="000C6E07" w:rsidRDefault="000C6E07" w:rsidP="000C6E07">
            <w:pPr>
              <w:spacing w:after="0"/>
              <w:jc w:val="center"/>
              <w:rPr>
                <w:b/>
                <w:bCs/>
                <w:sz w:val="20"/>
                <w:szCs w:val="20"/>
                <w:lang w:val="ro-RO"/>
              </w:rPr>
            </w:pPr>
            <w:r w:rsidRPr="000C6E07">
              <w:rPr>
                <w:b/>
                <w:bCs/>
                <w:sz w:val="20"/>
                <w:szCs w:val="20"/>
                <w:lang w:val="ro-RO"/>
              </w:rPr>
              <w:t>1199</w:t>
            </w:r>
          </w:p>
        </w:tc>
        <w:tc>
          <w:tcPr>
            <w:tcW w:w="956" w:type="dxa"/>
            <w:tcBorders>
              <w:top w:val="nil"/>
              <w:left w:val="nil"/>
              <w:bottom w:val="single" w:sz="4" w:space="0" w:color="auto"/>
              <w:right w:val="single" w:sz="4" w:space="0" w:color="auto"/>
            </w:tcBorders>
            <w:shd w:val="clear" w:color="000000" w:fill="FFFFFF"/>
            <w:noWrap/>
            <w:vAlign w:val="center"/>
            <w:hideMark/>
          </w:tcPr>
          <w:p w14:paraId="029BE8EF" w14:textId="77777777" w:rsidR="000C6E07" w:rsidRPr="000C6E07" w:rsidRDefault="000C6E07" w:rsidP="000C6E07">
            <w:pPr>
              <w:spacing w:after="0"/>
              <w:jc w:val="center"/>
              <w:rPr>
                <w:b/>
                <w:bCs/>
                <w:sz w:val="20"/>
                <w:szCs w:val="20"/>
                <w:lang w:val="ro-RO"/>
              </w:rPr>
            </w:pPr>
            <w:r w:rsidRPr="000C6E07">
              <w:rPr>
                <w:b/>
                <w:bCs/>
                <w:sz w:val="20"/>
                <w:szCs w:val="20"/>
                <w:lang w:val="ro-RO"/>
              </w:rPr>
              <w:t>1136</w:t>
            </w:r>
          </w:p>
        </w:tc>
        <w:tc>
          <w:tcPr>
            <w:tcW w:w="957" w:type="dxa"/>
            <w:tcBorders>
              <w:top w:val="nil"/>
              <w:left w:val="nil"/>
              <w:bottom w:val="single" w:sz="4" w:space="0" w:color="auto"/>
              <w:right w:val="single" w:sz="4" w:space="0" w:color="auto"/>
            </w:tcBorders>
            <w:shd w:val="clear" w:color="000000" w:fill="FFFFFF"/>
            <w:noWrap/>
            <w:vAlign w:val="center"/>
            <w:hideMark/>
          </w:tcPr>
          <w:p w14:paraId="3243D3DE" w14:textId="77777777" w:rsidR="000C6E07" w:rsidRPr="000C6E07" w:rsidRDefault="000C6E07" w:rsidP="000C6E07">
            <w:pPr>
              <w:spacing w:after="0"/>
              <w:jc w:val="center"/>
              <w:rPr>
                <w:b/>
                <w:bCs/>
                <w:sz w:val="20"/>
                <w:szCs w:val="20"/>
                <w:lang w:val="ro-RO"/>
              </w:rPr>
            </w:pPr>
            <w:r w:rsidRPr="000C6E07">
              <w:rPr>
                <w:b/>
                <w:bCs/>
                <w:sz w:val="20"/>
                <w:szCs w:val="20"/>
                <w:lang w:val="ro-RO"/>
              </w:rPr>
              <w:t>853</w:t>
            </w:r>
          </w:p>
        </w:tc>
      </w:tr>
      <w:tr w:rsidR="000C6E07" w:rsidRPr="000C6E07" w14:paraId="17C394C2" w14:textId="77777777" w:rsidTr="000C6E07">
        <w:trPr>
          <w:trHeight w:val="260"/>
          <w:jc w:val="center"/>
        </w:trPr>
        <w:tc>
          <w:tcPr>
            <w:tcW w:w="4536" w:type="dxa"/>
            <w:tcBorders>
              <w:top w:val="nil"/>
              <w:left w:val="single" w:sz="4" w:space="0" w:color="auto"/>
              <w:bottom w:val="single" w:sz="4" w:space="0" w:color="auto"/>
              <w:right w:val="single" w:sz="4" w:space="0" w:color="auto"/>
            </w:tcBorders>
            <w:shd w:val="clear" w:color="000000" w:fill="FFFFFF"/>
            <w:vAlign w:val="center"/>
            <w:hideMark/>
          </w:tcPr>
          <w:p w14:paraId="4B1FAC4A" w14:textId="77777777" w:rsidR="000C6E07" w:rsidRPr="000C6E07" w:rsidRDefault="000C6E07" w:rsidP="000C6E07">
            <w:pPr>
              <w:spacing w:after="0"/>
              <w:jc w:val="both"/>
              <w:rPr>
                <w:b/>
                <w:bCs/>
                <w:sz w:val="20"/>
                <w:szCs w:val="20"/>
                <w:lang w:val="ro-RO"/>
              </w:rPr>
            </w:pPr>
            <w:r w:rsidRPr="000C6E07">
              <w:rPr>
                <w:b/>
                <w:bCs/>
                <w:sz w:val="20"/>
                <w:szCs w:val="20"/>
                <w:lang w:val="ro-RO"/>
              </w:rPr>
              <w:t>Efectivul total</w:t>
            </w:r>
          </w:p>
        </w:tc>
        <w:tc>
          <w:tcPr>
            <w:tcW w:w="956" w:type="dxa"/>
            <w:tcBorders>
              <w:top w:val="single" w:sz="4" w:space="0" w:color="auto"/>
              <w:left w:val="nil"/>
              <w:bottom w:val="single" w:sz="4" w:space="0" w:color="auto"/>
              <w:right w:val="single" w:sz="4" w:space="0" w:color="auto"/>
            </w:tcBorders>
            <w:shd w:val="clear" w:color="000000" w:fill="FFFFFF"/>
            <w:vAlign w:val="bottom"/>
          </w:tcPr>
          <w:p w14:paraId="19217DF5" w14:textId="77777777" w:rsidR="000C6E07" w:rsidRPr="000C6E07" w:rsidRDefault="000C6E07" w:rsidP="000C6E07">
            <w:pPr>
              <w:spacing w:after="0"/>
              <w:jc w:val="center"/>
              <w:rPr>
                <w:b/>
                <w:bCs/>
                <w:sz w:val="20"/>
                <w:szCs w:val="20"/>
                <w:lang w:val="ro-RO"/>
              </w:rPr>
            </w:pPr>
            <w:r w:rsidRPr="000C6E07">
              <w:rPr>
                <w:b/>
                <w:bCs/>
                <w:sz w:val="20"/>
                <w:szCs w:val="20"/>
                <w:lang w:val="ro-RO"/>
              </w:rPr>
              <w:t>8042</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bottom"/>
          </w:tcPr>
          <w:p w14:paraId="34E9E923" w14:textId="77777777" w:rsidR="000C6E07" w:rsidRPr="000C6E07" w:rsidRDefault="000C6E07" w:rsidP="000C6E07">
            <w:pPr>
              <w:spacing w:after="0"/>
              <w:jc w:val="center"/>
              <w:rPr>
                <w:b/>
                <w:bCs/>
                <w:sz w:val="20"/>
                <w:szCs w:val="20"/>
                <w:lang w:val="ro-RO"/>
              </w:rPr>
            </w:pPr>
            <w:r w:rsidRPr="000C6E07">
              <w:rPr>
                <w:b/>
                <w:bCs/>
                <w:sz w:val="20"/>
                <w:szCs w:val="20"/>
                <w:lang w:val="ro-RO"/>
              </w:rPr>
              <w:t>8497</w:t>
            </w:r>
          </w:p>
        </w:tc>
        <w:tc>
          <w:tcPr>
            <w:tcW w:w="956" w:type="dxa"/>
            <w:tcBorders>
              <w:top w:val="nil"/>
              <w:left w:val="nil"/>
              <w:bottom w:val="single" w:sz="4" w:space="0" w:color="auto"/>
              <w:right w:val="single" w:sz="4" w:space="0" w:color="auto"/>
            </w:tcBorders>
            <w:shd w:val="clear" w:color="000000" w:fill="FFFFFF"/>
            <w:noWrap/>
            <w:vAlign w:val="center"/>
            <w:hideMark/>
          </w:tcPr>
          <w:p w14:paraId="0CA1A1FC" w14:textId="77777777" w:rsidR="000C6E07" w:rsidRPr="000C6E07" w:rsidRDefault="000C6E07" w:rsidP="000C6E07">
            <w:pPr>
              <w:spacing w:after="0"/>
              <w:jc w:val="center"/>
              <w:rPr>
                <w:b/>
                <w:bCs/>
                <w:sz w:val="20"/>
                <w:szCs w:val="20"/>
                <w:lang w:val="ro-RO"/>
              </w:rPr>
            </w:pPr>
            <w:r w:rsidRPr="000C6E07">
              <w:rPr>
                <w:b/>
                <w:bCs/>
                <w:sz w:val="20"/>
                <w:szCs w:val="20"/>
                <w:lang w:val="ro-RO"/>
              </w:rPr>
              <w:t>7961</w:t>
            </w:r>
          </w:p>
        </w:tc>
        <w:tc>
          <w:tcPr>
            <w:tcW w:w="956" w:type="dxa"/>
            <w:tcBorders>
              <w:top w:val="nil"/>
              <w:left w:val="nil"/>
              <w:bottom w:val="single" w:sz="4" w:space="0" w:color="auto"/>
              <w:right w:val="single" w:sz="4" w:space="0" w:color="auto"/>
            </w:tcBorders>
            <w:shd w:val="clear" w:color="000000" w:fill="FFFFFF"/>
            <w:noWrap/>
            <w:vAlign w:val="center"/>
            <w:hideMark/>
          </w:tcPr>
          <w:p w14:paraId="2FCFF1DA" w14:textId="77777777" w:rsidR="000C6E07" w:rsidRPr="000C6E07" w:rsidRDefault="000C6E07" w:rsidP="000C6E07">
            <w:pPr>
              <w:spacing w:after="0"/>
              <w:jc w:val="center"/>
              <w:rPr>
                <w:b/>
                <w:bCs/>
                <w:sz w:val="20"/>
                <w:szCs w:val="20"/>
                <w:lang w:val="ro-RO"/>
              </w:rPr>
            </w:pPr>
            <w:r w:rsidRPr="000C6E07">
              <w:rPr>
                <w:b/>
                <w:bCs/>
                <w:sz w:val="20"/>
                <w:szCs w:val="20"/>
                <w:lang w:val="ro-RO"/>
              </w:rPr>
              <w:t>7981</w:t>
            </w:r>
          </w:p>
        </w:tc>
        <w:tc>
          <w:tcPr>
            <w:tcW w:w="957" w:type="dxa"/>
            <w:tcBorders>
              <w:top w:val="nil"/>
              <w:left w:val="nil"/>
              <w:bottom w:val="single" w:sz="4" w:space="0" w:color="auto"/>
              <w:right w:val="single" w:sz="4" w:space="0" w:color="auto"/>
            </w:tcBorders>
            <w:shd w:val="clear" w:color="000000" w:fill="FFFFFF"/>
            <w:noWrap/>
            <w:vAlign w:val="center"/>
            <w:hideMark/>
          </w:tcPr>
          <w:p w14:paraId="577DFF9A" w14:textId="77777777" w:rsidR="000C6E07" w:rsidRPr="000C6E07" w:rsidRDefault="000C6E07" w:rsidP="000C6E07">
            <w:pPr>
              <w:spacing w:after="0"/>
              <w:jc w:val="center"/>
              <w:rPr>
                <w:b/>
                <w:bCs/>
                <w:sz w:val="20"/>
                <w:szCs w:val="20"/>
                <w:lang w:val="ro-RO"/>
              </w:rPr>
            </w:pPr>
            <w:r w:rsidRPr="000C6E07">
              <w:rPr>
                <w:b/>
                <w:bCs/>
                <w:sz w:val="20"/>
                <w:szCs w:val="20"/>
                <w:lang w:val="ro-RO"/>
              </w:rPr>
              <w:t>8083</w:t>
            </w:r>
          </w:p>
        </w:tc>
      </w:tr>
    </w:tbl>
    <w:p w14:paraId="452E99D6" w14:textId="77777777" w:rsidR="000C6E07" w:rsidRPr="000C6E07" w:rsidRDefault="000C6E07" w:rsidP="000C6E07">
      <w:pPr>
        <w:spacing w:after="120"/>
        <w:ind w:firstLine="539"/>
        <w:jc w:val="center"/>
        <w:rPr>
          <w:i/>
          <w:sz w:val="24"/>
          <w:szCs w:val="24"/>
          <w:lang w:val="ro-RO" w:eastAsia="ro-RO"/>
        </w:rPr>
      </w:pPr>
      <w:r w:rsidRPr="000C6E07">
        <w:rPr>
          <w:b/>
          <w:sz w:val="24"/>
          <w:szCs w:val="24"/>
          <w:lang w:val="ro-RO" w:eastAsia="ro-RO"/>
        </w:rPr>
        <w:t>Sursa:</w:t>
      </w:r>
      <w:r w:rsidRPr="000C6E07">
        <w:rPr>
          <w:i/>
          <w:sz w:val="24"/>
          <w:szCs w:val="24"/>
          <w:lang w:val="ro-RO" w:eastAsia="ro-RO"/>
        </w:rPr>
        <w:t xml:space="preserve"> Inspectoratul General al Poliției</w:t>
      </w:r>
    </w:p>
    <w:p w14:paraId="27D08BE6" w14:textId="77777777" w:rsidR="000C6E07" w:rsidRPr="000C6E07" w:rsidRDefault="000C6E07" w:rsidP="000C6E07">
      <w:pPr>
        <w:spacing w:after="120"/>
        <w:ind w:firstLine="539"/>
        <w:jc w:val="both"/>
        <w:rPr>
          <w:sz w:val="24"/>
          <w:szCs w:val="24"/>
          <w:lang w:val="ro-RO" w:eastAsia="ro-RO"/>
        </w:rPr>
      </w:pPr>
      <w:r w:rsidRPr="000C6E07">
        <w:rPr>
          <w:sz w:val="24"/>
          <w:szCs w:val="24"/>
          <w:lang w:val="ro-RO" w:eastAsia="ro-RO"/>
        </w:rPr>
        <w:t>La începutul anului 2025, IGC avea un efectiv total de 972 de angajați din efectivul-limită stabilit la 1187 de funcții (conform HG 332/2019), ceea ce reprezintă 82% din funcții completate. Dinamica pe ultimii ani reflectă o scădere continuă a efectivului de carabinieri, care în anul 2021 pornise de la 100% de funcții completate după profesionalizarea efectivului. Începând din 2022, anual, în IGC, între 22% și 35% din efectivul total de subofițeri și între 16% și 22% din efectivul de ofițeri au încetat raporturile de serviciu. Principalul motiv al încetării raporturilor de serviciu în IGC în 2024 l-a constituit inițiativa personală a militarului (90% în rândul subofițerilor și 63% în rândul ofițerilor), iar al doilea motiv ca pondere a fost expirarea contractului (8% în rândul subofițerilor și 20% în rândul ofițerilor în 2024). (Tabelul 2)</w:t>
      </w:r>
    </w:p>
    <w:p w14:paraId="0693B247" w14:textId="77777777" w:rsidR="000C6E07" w:rsidRPr="000C6E07" w:rsidRDefault="000C6E07" w:rsidP="00B63119">
      <w:pPr>
        <w:spacing w:before="120" w:after="0"/>
        <w:ind w:firstLine="539"/>
        <w:jc w:val="center"/>
        <w:rPr>
          <w:sz w:val="24"/>
          <w:szCs w:val="24"/>
          <w:lang w:val="ro-RO" w:eastAsia="ro-RO"/>
        </w:rPr>
      </w:pPr>
      <w:r w:rsidRPr="000C6E07">
        <w:rPr>
          <w:b/>
          <w:sz w:val="24"/>
          <w:szCs w:val="24"/>
          <w:lang w:val="ro-RO" w:eastAsia="ro-RO"/>
        </w:rPr>
        <w:t xml:space="preserve">Tabelul 2. </w:t>
      </w:r>
      <w:r w:rsidRPr="000C6E07">
        <w:rPr>
          <w:b/>
          <w:iCs/>
          <w:sz w:val="24"/>
          <w:szCs w:val="24"/>
          <w:lang w:val="ro-RO" w:eastAsia="ro-RO"/>
        </w:rPr>
        <w:t>Motivele încetării raporturilor de serviciu în cadrul IGC</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805"/>
        <w:gridCol w:w="1005"/>
        <w:gridCol w:w="844"/>
        <w:gridCol w:w="1005"/>
        <w:gridCol w:w="716"/>
        <w:gridCol w:w="1061"/>
      </w:tblGrid>
      <w:tr w:rsidR="000C6E07" w:rsidRPr="000C6E07" w14:paraId="08956804" w14:textId="77777777" w:rsidTr="000C6E07">
        <w:trPr>
          <w:trHeight w:val="197"/>
          <w:jc w:val="center"/>
        </w:trPr>
        <w:tc>
          <w:tcPr>
            <w:tcW w:w="3825" w:type="dxa"/>
            <w:vMerge w:val="restart"/>
            <w:noWrap/>
            <w:vAlign w:val="center"/>
          </w:tcPr>
          <w:p w14:paraId="6B2AF85A" w14:textId="77777777" w:rsidR="000C6E07" w:rsidRPr="000C6E07" w:rsidRDefault="000C6E07" w:rsidP="000C6E07">
            <w:pPr>
              <w:spacing w:after="0"/>
              <w:ind w:firstLine="91"/>
              <w:jc w:val="center"/>
              <w:rPr>
                <w:b/>
                <w:i/>
                <w:iCs/>
                <w:color w:val="000000"/>
                <w:sz w:val="20"/>
                <w:szCs w:val="20"/>
                <w:lang w:val="ro-RO" w:eastAsia="ro-RO"/>
              </w:rPr>
            </w:pPr>
            <w:r w:rsidRPr="000C6E07">
              <w:rPr>
                <w:b/>
                <w:i/>
                <w:iCs/>
                <w:color w:val="000000"/>
                <w:sz w:val="20"/>
                <w:szCs w:val="20"/>
                <w:lang w:val="ro-RO" w:eastAsia="ro-RO"/>
              </w:rPr>
              <w:t xml:space="preserve">Motivele încetării raporturilor de serviciu </w:t>
            </w:r>
          </w:p>
        </w:tc>
        <w:tc>
          <w:tcPr>
            <w:tcW w:w="1810" w:type="dxa"/>
            <w:gridSpan w:val="2"/>
            <w:noWrap/>
            <w:vAlign w:val="center"/>
          </w:tcPr>
          <w:p w14:paraId="6A867520" w14:textId="77777777" w:rsidR="000C6E07" w:rsidRPr="000C6E07" w:rsidRDefault="000C6E07" w:rsidP="000C6E07">
            <w:pPr>
              <w:spacing w:after="0"/>
              <w:ind w:firstLine="91"/>
              <w:jc w:val="center"/>
              <w:rPr>
                <w:b/>
                <w:bCs/>
                <w:i/>
                <w:iCs/>
                <w:color w:val="000000"/>
                <w:sz w:val="20"/>
                <w:szCs w:val="20"/>
                <w:lang w:val="ro-RO" w:eastAsia="ro-RO"/>
              </w:rPr>
            </w:pPr>
            <w:r w:rsidRPr="000C6E07">
              <w:rPr>
                <w:b/>
                <w:bCs/>
                <w:i/>
                <w:iCs/>
                <w:color w:val="000000"/>
                <w:sz w:val="20"/>
                <w:szCs w:val="20"/>
                <w:lang w:val="ro-RO" w:eastAsia="ro-RO"/>
              </w:rPr>
              <w:t>2022</w:t>
            </w:r>
          </w:p>
        </w:tc>
        <w:tc>
          <w:tcPr>
            <w:tcW w:w="1849" w:type="dxa"/>
            <w:gridSpan w:val="2"/>
            <w:noWrap/>
            <w:vAlign w:val="center"/>
          </w:tcPr>
          <w:p w14:paraId="43484423" w14:textId="77777777" w:rsidR="000C6E07" w:rsidRPr="000C6E07" w:rsidRDefault="000C6E07" w:rsidP="000C6E07">
            <w:pPr>
              <w:spacing w:after="0"/>
              <w:ind w:firstLine="91"/>
              <w:jc w:val="center"/>
              <w:rPr>
                <w:b/>
                <w:bCs/>
                <w:i/>
                <w:iCs/>
                <w:color w:val="000000"/>
                <w:sz w:val="20"/>
                <w:szCs w:val="20"/>
                <w:lang w:val="ro-RO" w:eastAsia="ro-RO"/>
              </w:rPr>
            </w:pPr>
            <w:r w:rsidRPr="000C6E07">
              <w:rPr>
                <w:b/>
                <w:bCs/>
                <w:i/>
                <w:iCs/>
                <w:color w:val="000000"/>
                <w:sz w:val="20"/>
                <w:szCs w:val="20"/>
                <w:lang w:val="ro-RO" w:eastAsia="ro-RO"/>
              </w:rPr>
              <w:t>2023</w:t>
            </w:r>
          </w:p>
        </w:tc>
        <w:tc>
          <w:tcPr>
            <w:tcW w:w="1777" w:type="dxa"/>
            <w:gridSpan w:val="2"/>
            <w:noWrap/>
            <w:vAlign w:val="center"/>
          </w:tcPr>
          <w:p w14:paraId="466AC1B0" w14:textId="77777777" w:rsidR="000C6E07" w:rsidRPr="000C6E07" w:rsidRDefault="000C6E07" w:rsidP="000C6E07">
            <w:pPr>
              <w:spacing w:after="0"/>
              <w:ind w:firstLine="91"/>
              <w:jc w:val="center"/>
              <w:rPr>
                <w:b/>
                <w:bCs/>
                <w:i/>
                <w:iCs/>
                <w:color w:val="000000"/>
                <w:sz w:val="20"/>
                <w:szCs w:val="20"/>
                <w:lang w:val="ro-RO" w:eastAsia="ro-RO"/>
              </w:rPr>
            </w:pPr>
            <w:r w:rsidRPr="000C6E07">
              <w:rPr>
                <w:b/>
                <w:bCs/>
                <w:i/>
                <w:iCs/>
                <w:color w:val="000000"/>
                <w:sz w:val="20"/>
                <w:szCs w:val="20"/>
                <w:lang w:val="ro-RO" w:eastAsia="ro-RO"/>
              </w:rPr>
              <w:t>2024</w:t>
            </w:r>
          </w:p>
        </w:tc>
      </w:tr>
      <w:tr w:rsidR="000C6E07" w:rsidRPr="000C6E07" w14:paraId="00200549" w14:textId="77777777" w:rsidTr="000C6E07">
        <w:trPr>
          <w:trHeight w:val="197"/>
          <w:jc w:val="center"/>
        </w:trPr>
        <w:tc>
          <w:tcPr>
            <w:tcW w:w="3825" w:type="dxa"/>
            <w:vMerge/>
            <w:noWrap/>
            <w:vAlign w:val="center"/>
          </w:tcPr>
          <w:p w14:paraId="66C40438" w14:textId="77777777" w:rsidR="000C6E07" w:rsidRPr="000C6E07" w:rsidRDefault="000C6E07" w:rsidP="000C6E07">
            <w:pPr>
              <w:spacing w:after="0"/>
              <w:ind w:firstLine="91"/>
              <w:jc w:val="center"/>
              <w:rPr>
                <w:b/>
                <w:i/>
                <w:iCs/>
                <w:color w:val="000000"/>
                <w:sz w:val="20"/>
                <w:szCs w:val="20"/>
                <w:lang w:val="ro-RO" w:eastAsia="ro-RO"/>
              </w:rPr>
            </w:pPr>
          </w:p>
        </w:tc>
        <w:tc>
          <w:tcPr>
            <w:tcW w:w="805" w:type="dxa"/>
            <w:noWrap/>
            <w:vAlign w:val="center"/>
          </w:tcPr>
          <w:p w14:paraId="08E2BCFA"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ofițeri</w:t>
            </w:r>
          </w:p>
        </w:tc>
        <w:tc>
          <w:tcPr>
            <w:tcW w:w="1005" w:type="dxa"/>
            <w:vAlign w:val="center"/>
          </w:tcPr>
          <w:p w14:paraId="7D78741F"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subofițeri</w:t>
            </w:r>
          </w:p>
        </w:tc>
        <w:tc>
          <w:tcPr>
            <w:tcW w:w="844" w:type="dxa"/>
            <w:noWrap/>
            <w:vAlign w:val="center"/>
          </w:tcPr>
          <w:p w14:paraId="110BB709"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ofițeri</w:t>
            </w:r>
          </w:p>
        </w:tc>
        <w:tc>
          <w:tcPr>
            <w:tcW w:w="1005" w:type="dxa"/>
            <w:vAlign w:val="center"/>
          </w:tcPr>
          <w:p w14:paraId="09798BCC"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subofițeri</w:t>
            </w:r>
          </w:p>
        </w:tc>
        <w:tc>
          <w:tcPr>
            <w:tcW w:w="716" w:type="dxa"/>
            <w:noWrap/>
            <w:vAlign w:val="center"/>
          </w:tcPr>
          <w:p w14:paraId="16F4B514"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ofițeri</w:t>
            </w:r>
          </w:p>
        </w:tc>
        <w:tc>
          <w:tcPr>
            <w:tcW w:w="1061" w:type="dxa"/>
            <w:vAlign w:val="center"/>
          </w:tcPr>
          <w:p w14:paraId="44D37AEF"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subofițeri</w:t>
            </w:r>
          </w:p>
        </w:tc>
      </w:tr>
      <w:tr w:rsidR="000C6E07" w:rsidRPr="000C6E07" w14:paraId="7E86A24C" w14:textId="77777777" w:rsidTr="000C6E07">
        <w:trPr>
          <w:trHeight w:val="187"/>
          <w:jc w:val="center"/>
        </w:trPr>
        <w:tc>
          <w:tcPr>
            <w:tcW w:w="3825" w:type="dxa"/>
            <w:noWrap/>
            <w:vAlign w:val="center"/>
          </w:tcPr>
          <w:p w14:paraId="6777688E" w14:textId="77777777" w:rsidR="000C6E07" w:rsidRPr="000C6E07" w:rsidRDefault="000C6E07" w:rsidP="000C6E07">
            <w:pPr>
              <w:spacing w:after="0"/>
              <w:rPr>
                <w:color w:val="000000"/>
                <w:sz w:val="20"/>
                <w:szCs w:val="20"/>
                <w:lang w:val="ro-RO" w:eastAsia="ro-RO"/>
              </w:rPr>
            </w:pPr>
            <w:r w:rsidRPr="000C6E07">
              <w:rPr>
                <w:color w:val="333333"/>
                <w:sz w:val="20"/>
                <w:szCs w:val="20"/>
                <w:shd w:val="clear" w:color="auto" w:fill="FFFFFF"/>
                <w:lang w:val="ro-RO"/>
              </w:rPr>
              <w:t>la expirarea contractului</w:t>
            </w:r>
          </w:p>
        </w:tc>
        <w:tc>
          <w:tcPr>
            <w:tcW w:w="1810" w:type="dxa"/>
            <w:gridSpan w:val="2"/>
            <w:noWrap/>
            <w:vAlign w:val="center"/>
          </w:tcPr>
          <w:p w14:paraId="6AF301C7"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30</w:t>
            </w:r>
          </w:p>
        </w:tc>
        <w:tc>
          <w:tcPr>
            <w:tcW w:w="844" w:type="dxa"/>
            <w:vAlign w:val="center"/>
          </w:tcPr>
          <w:p w14:paraId="079810A1"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6</w:t>
            </w:r>
          </w:p>
        </w:tc>
        <w:tc>
          <w:tcPr>
            <w:tcW w:w="1005" w:type="dxa"/>
            <w:noWrap/>
            <w:vAlign w:val="center"/>
          </w:tcPr>
          <w:p w14:paraId="6FC2A22A"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14</w:t>
            </w:r>
          </w:p>
        </w:tc>
        <w:tc>
          <w:tcPr>
            <w:tcW w:w="716" w:type="dxa"/>
            <w:vAlign w:val="center"/>
          </w:tcPr>
          <w:p w14:paraId="18D40F82"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13</w:t>
            </w:r>
          </w:p>
        </w:tc>
        <w:tc>
          <w:tcPr>
            <w:tcW w:w="1061" w:type="dxa"/>
            <w:vAlign w:val="center"/>
          </w:tcPr>
          <w:p w14:paraId="1A63B795"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10</w:t>
            </w:r>
          </w:p>
        </w:tc>
      </w:tr>
      <w:tr w:rsidR="000C6E07" w:rsidRPr="000C6E07" w14:paraId="2D13B680" w14:textId="77777777" w:rsidTr="000C6E07">
        <w:trPr>
          <w:trHeight w:val="31"/>
          <w:jc w:val="center"/>
        </w:trPr>
        <w:tc>
          <w:tcPr>
            <w:tcW w:w="3825" w:type="dxa"/>
            <w:vAlign w:val="center"/>
          </w:tcPr>
          <w:p w14:paraId="0E0D2F47" w14:textId="77777777" w:rsidR="000C6E07" w:rsidRPr="000C6E07" w:rsidRDefault="000C6E07" w:rsidP="000C6E07">
            <w:pPr>
              <w:spacing w:after="0"/>
              <w:rPr>
                <w:color w:val="000000"/>
                <w:sz w:val="20"/>
                <w:szCs w:val="20"/>
                <w:lang w:val="ro-RO" w:eastAsia="ro-RO"/>
              </w:rPr>
            </w:pPr>
            <w:r w:rsidRPr="000C6E07">
              <w:rPr>
                <w:color w:val="333333"/>
                <w:sz w:val="20"/>
                <w:szCs w:val="20"/>
                <w:shd w:val="clear" w:color="auto" w:fill="FFFFFF"/>
                <w:lang w:val="ro-RO"/>
              </w:rPr>
              <w:t>la atingerea vârstei-limită de aflare în serviciul militar</w:t>
            </w:r>
          </w:p>
        </w:tc>
        <w:tc>
          <w:tcPr>
            <w:tcW w:w="1810" w:type="dxa"/>
            <w:gridSpan w:val="2"/>
            <w:noWrap/>
            <w:vAlign w:val="center"/>
          </w:tcPr>
          <w:p w14:paraId="2ADB7F66"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2</w:t>
            </w:r>
          </w:p>
        </w:tc>
        <w:tc>
          <w:tcPr>
            <w:tcW w:w="844" w:type="dxa"/>
            <w:noWrap/>
            <w:vAlign w:val="center"/>
          </w:tcPr>
          <w:p w14:paraId="41B34645"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1005" w:type="dxa"/>
            <w:vAlign w:val="center"/>
          </w:tcPr>
          <w:p w14:paraId="159B9338"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w:t>
            </w:r>
          </w:p>
        </w:tc>
        <w:tc>
          <w:tcPr>
            <w:tcW w:w="716" w:type="dxa"/>
            <w:noWrap/>
            <w:vAlign w:val="center"/>
          </w:tcPr>
          <w:p w14:paraId="0C6B9022"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w:t>
            </w:r>
          </w:p>
        </w:tc>
        <w:tc>
          <w:tcPr>
            <w:tcW w:w="1061" w:type="dxa"/>
            <w:vAlign w:val="center"/>
          </w:tcPr>
          <w:p w14:paraId="15851217"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r>
      <w:tr w:rsidR="000C6E07" w:rsidRPr="000C6E07" w14:paraId="430FC33D" w14:textId="77777777" w:rsidTr="000C6E07">
        <w:trPr>
          <w:trHeight w:val="29"/>
          <w:jc w:val="center"/>
        </w:trPr>
        <w:tc>
          <w:tcPr>
            <w:tcW w:w="3825" w:type="dxa"/>
            <w:vAlign w:val="center"/>
          </w:tcPr>
          <w:p w14:paraId="684D248A" w14:textId="77777777" w:rsidR="000C6E07" w:rsidRPr="000C6E07" w:rsidRDefault="000C6E07" w:rsidP="000C6E07">
            <w:pPr>
              <w:spacing w:after="0"/>
              <w:rPr>
                <w:color w:val="000000"/>
                <w:sz w:val="20"/>
                <w:szCs w:val="20"/>
                <w:lang w:val="ro-RO" w:eastAsia="ro-RO"/>
              </w:rPr>
            </w:pPr>
            <w:r w:rsidRPr="000C6E07">
              <w:rPr>
                <w:color w:val="333333"/>
                <w:sz w:val="20"/>
                <w:szCs w:val="20"/>
                <w:shd w:val="clear" w:color="auto" w:fill="FFFFFF"/>
                <w:lang w:val="ro-RO"/>
              </w:rPr>
              <w:t>la transferarea într-o altă structură de stat în care este prevăzut serviciul special</w:t>
            </w:r>
          </w:p>
        </w:tc>
        <w:tc>
          <w:tcPr>
            <w:tcW w:w="1810" w:type="dxa"/>
            <w:gridSpan w:val="2"/>
            <w:noWrap/>
            <w:vAlign w:val="center"/>
          </w:tcPr>
          <w:p w14:paraId="727FAC61"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20</w:t>
            </w:r>
          </w:p>
        </w:tc>
        <w:tc>
          <w:tcPr>
            <w:tcW w:w="844" w:type="dxa"/>
            <w:noWrap/>
            <w:vAlign w:val="center"/>
          </w:tcPr>
          <w:p w14:paraId="2704F4CF"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15</w:t>
            </w:r>
          </w:p>
        </w:tc>
        <w:tc>
          <w:tcPr>
            <w:tcW w:w="1005" w:type="dxa"/>
            <w:vAlign w:val="center"/>
          </w:tcPr>
          <w:p w14:paraId="04306E83"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w:t>
            </w:r>
          </w:p>
        </w:tc>
        <w:tc>
          <w:tcPr>
            <w:tcW w:w="716" w:type="dxa"/>
            <w:noWrap/>
            <w:vAlign w:val="center"/>
          </w:tcPr>
          <w:p w14:paraId="510C4BBD"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10</w:t>
            </w:r>
          </w:p>
        </w:tc>
        <w:tc>
          <w:tcPr>
            <w:tcW w:w="1061" w:type="dxa"/>
            <w:vAlign w:val="center"/>
          </w:tcPr>
          <w:p w14:paraId="5FC27BAF"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r>
      <w:tr w:rsidR="000C6E07" w:rsidRPr="000C6E07" w14:paraId="23385434" w14:textId="77777777" w:rsidTr="000C6E07">
        <w:trPr>
          <w:trHeight w:val="29"/>
          <w:jc w:val="center"/>
        </w:trPr>
        <w:tc>
          <w:tcPr>
            <w:tcW w:w="3825" w:type="dxa"/>
            <w:vAlign w:val="center"/>
          </w:tcPr>
          <w:p w14:paraId="4EC1CCC2" w14:textId="77777777" w:rsidR="000C6E07" w:rsidRPr="000C6E07" w:rsidRDefault="000C6E07" w:rsidP="000C6E07">
            <w:pPr>
              <w:spacing w:after="0"/>
              <w:rPr>
                <w:color w:val="333333"/>
                <w:sz w:val="20"/>
                <w:szCs w:val="20"/>
                <w:shd w:val="clear" w:color="auto" w:fill="FFFFFF"/>
                <w:lang w:val="ro-RO"/>
              </w:rPr>
            </w:pPr>
            <w:r w:rsidRPr="000C6E07">
              <w:rPr>
                <w:color w:val="333333"/>
                <w:sz w:val="20"/>
                <w:szCs w:val="20"/>
                <w:shd w:val="clear" w:color="auto" w:fill="FFFFFF"/>
                <w:lang w:val="ro-RO"/>
              </w:rPr>
              <w:t>la comiterea delictelor ce discreditează titlul de militar</w:t>
            </w:r>
          </w:p>
        </w:tc>
        <w:tc>
          <w:tcPr>
            <w:tcW w:w="1810" w:type="dxa"/>
            <w:gridSpan w:val="2"/>
            <w:noWrap/>
            <w:vAlign w:val="center"/>
          </w:tcPr>
          <w:p w14:paraId="7BD900E5"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11</w:t>
            </w:r>
          </w:p>
        </w:tc>
        <w:tc>
          <w:tcPr>
            <w:tcW w:w="844" w:type="dxa"/>
            <w:noWrap/>
            <w:vAlign w:val="center"/>
          </w:tcPr>
          <w:p w14:paraId="4F0449E6"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w:t>
            </w:r>
          </w:p>
        </w:tc>
        <w:tc>
          <w:tcPr>
            <w:tcW w:w="1005" w:type="dxa"/>
            <w:vAlign w:val="center"/>
          </w:tcPr>
          <w:p w14:paraId="7293EE5E"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3</w:t>
            </w:r>
          </w:p>
        </w:tc>
        <w:tc>
          <w:tcPr>
            <w:tcW w:w="716" w:type="dxa"/>
            <w:noWrap/>
            <w:vAlign w:val="center"/>
          </w:tcPr>
          <w:p w14:paraId="302C88FB"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1061" w:type="dxa"/>
            <w:vAlign w:val="center"/>
          </w:tcPr>
          <w:p w14:paraId="378FD056"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2</w:t>
            </w:r>
          </w:p>
        </w:tc>
      </w:tr>
      <w:tr w:rsidR="000C6E07" w:rsidRPr="000C6E07" w14:paraId="5FA926D2" w14:textId="77777777" w:rsidTr="000C6E07">
        <w:trPr>
          <w:trHeight w:val="29"/>
          <w:jc w:val="center"/>
        </w:trPr>
        <w:tc>
          <w:tcPr>
            <w:tcW w:w="3825" w:type="dxa"/>
            <w:vAlign w:val="center"/>
          </w:tcPr>
          <w:p w14:paraId="43030404" w14:textId="77777777" w:rsidR="000C6E07" w:rsidRPr="000C6E07" w:rsidRDefault="000C6E07" w:rsidP="000C6E07">
            <w:pPr>
              <w:spacing w:after="0"/>
              <w:rPr>
                <w:color w:val="333333"/>
                <w:sz w:val="20"/>
                <w:szCs w:val="20"/>
                <w:shd w:val="clear" w:color="auto" w:fill="FFFFFF"/>
                <w:lang w:val="ro-RO"/>
              </w:rPr>
            </w:pPr>
            <w:r w:rsidRPr="000C6E07">
              <w:rPr>
                <w:color w:val="333333"/>
                <w:sz w:val="20"/>
                <w:szCs w:val="20"/>
                <w:shd w:val="clear" w:color="auto" w:fill="FFFFFF"/>
                <w:lang w:val="ro-RO"/>
              </w:rPr>
              <w:t>din motive familiale</w:t>
            </w:r>
          </w:p>
        </w:tc>
        <w:tc>
          <w:tcPr>
            <w:tcW w:w="1810" w:type="dxa"/>
            <w:gridSpan w:val="2"/>
            <w:noWrap/>
            <w:vAlign w:val="center"/>
          </w:tcPr>
          <w:p w14:paraId="65BDDEF9"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844" w:type="dxa"/>
            <w:noWrap/>
            <w:vAlign w:val="center"/>
          </w:tcPr>
          <w:p w14:paraId="401FE846"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1005" w:type="dxa"/>
            <w:vAlign w:val="center"/>
          </w:tcPr>
          <w:p w14:paraId="231E9BE6"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716" w:type="dxa"/>
            <w:noWrap/>
            <w:vAlign w:val="center"/>
          </w:tcPr>
          <w:p w14:paraId="684F918E"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1061" w:type="dxa"/>
            <w:vAlign w:val="center"/>
          </w:tcPr>
          <w:p w14:paraId="4F8FEDF8"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r>
      <w:tr w:rsidR="000C6E07" w:rsidRPr="000C6E07" w14:paraId="5BF34F3B" w14:textId="77777777" w:rsidTr="000C6E07">
        <w:trPr>
          <w:trHeight w:val="29"/>
          <w:jc w:val="center"/>
        </w:trPr>
        <w:tc>
          <w:tcPr>
            <w:tcW w:w="3825" w:type="dxa"/>
            <w:vAlign w:val="center"/>
          </w:tcPr>
          <w:p w14:paraId="77433D6C" w14:textId="77777777" w:rsidR="000C6E07" w:rsidRPr="000C6E07" w:rsidRDefault="000C6E07" w:rsidP="000C6E07">
            <w:pPr>
              <w:spacing w:after="0"/>
              <w:rPr>
                <w:color w:val="333333"/>
                <w:sz w:val="20"/>
                <w:szCs w:val="20"/>
                <w:shd w:val="clear" w:color="auto" w:fill="FFFFFF"/>
                <w:lang w:val="ro-RO"/>
              </w:rPr>
            </w:pPr>
            <w:r w:rsidRPr="000C6E07">
              <w:rPr>
                <w:color w:val="333333"/>
                <w:sz w:val="20"/>
                <w:szCs w:val="20"/>
                <w:shd w:val="clear" w:color="auto" w:fill="FFFFFF"/>
                <w:lang w:val="ro-RO"/>
              </w:rPr>
              <w:t>din inițiativa personală a militarului</w:t>
            </w:r>
          </w:p>
        </w:tc>
        <w:tc>
          <w:tcPr>
            <w:tcW w:w="1810" w:type="dxa"/>
            <w:gridSpan w:val="2"/>
            <w:noWrap/>
            <w:vAlign w:val="center"/>
          </w:tcPr>
          <w:p w14:paraId="69985117"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254</w:t>
            </w:r>
          </w:p>
        </w:tc>
        <w:tc>
          <w:tcPr>
            <w:tcW w:w="844" w:type="dxa"/>
            <w:noWrap/>
            <w:vAlign w:val="center"/>
          </w:tcPr>
          <w:p w14:paraId="136BDF1C"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61</w:t>
            </w:r>
          </w:p>
        </w:tc>
        <w:tc>
          <w:tcPr>
            <w:tcW w:w="1005" w:type="dxa"/>
            <w:vAlign w:val="center"/>
          </w:tcPr>
          <w:p w14:paraId="2C5B0366"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132</w:t>
            </w:r>
          </w:p>
        </w:tc>
        <w:tc>
          <w:tcPr>
            <w:tcW w:w="716" w:type="dxa"/>
            <w:noWrap/>
            <w:vAlign w:val="center"/>
          </w:tcPr>
          <w:p w14:paraId="3A9E2BCF"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40</w:t>
            </w:r>
          </w:p>
        </w:tc>
        <w:tc>
          <w:tcPr>
            <w:tcW w:w="1061" w:type="dxa"/>
            <w:vAlign w:val="center"/>
          </w:tcPr>
          <w:p w14:paraId="6103702D"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111</w:t>
            </w:r>
          </w:p>
        </w:tc>
      </w:tr>
      <w:tr w:rsidR="000C6E07" w:rsidRPr="000C6E07" w14:paraId="56860898" w14:textId="77777777" w:rsidTr="000C6E07">
        <w:trPr>
          <w:trHeight w:val="29"/>
          <w:jc w:val="center"/>
        </w:trPr>
        <w:tc>
          <w:tcPr>
            <w:tcW w:w="3825" w:type="dxa"/>
            <w:vAlign w:val="center"/>
          </w:tcPr>
          <w:p w14:paraId="20335EF4" w14:textId="77777777" w:rsidR="000C6E07" w:rsidRPr="000C6E07" w:rsidRDefault="000C6E07" w:rsidP="000C6E07">
            <w:pPr>
              <w:spacing w:after="0"/>
              <w:rPr>
                <w:color w:val="333333"/>
                <w:sz w:val="20"/>
                <w:szCs w:val="20"/>
                <w:shd w:val="clear" w:color="auto" w:fill="FFFFFF"/>
                <w:lang w:val="ro-RO"/>
              </w:rPr>
            </w:pPr>
            <w:r w:rsidRPr="000C6E07">
              <w:rPr>
                <w:color w:val="333333"/>
                <w:sz w:val="20"/>
                <w:szCs w:val="20"/>
                <w:shd w:val="clear" w:color="auto" w:fill="FFFFFF"/>
                <w:lang w:val="ro-RO"/>
              </w:rPr>
              <w:t>la condamnarea militarului de către instanța de judecată pentru săvârșirea unei infracțiuni</w:t>
            </w:r>
          </w:p>
        </w:tc>
        <w:tc>
          <w:tcPr>
            <w:tcW w:w="1810" w:type="dxa"/>
            <w:gridSpan w:val="2"/>
            <w:noWrap/>
            <w:vAlign w:val="center"/>
          </w:tcPr>
          <w:p w14:paraId="6DCE8C48"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844" w:type="dxa"/>
            <w:noWrap/>
            <w:vAlign w:val="center"/>
          </w:tcPr>
          <w:p w14:paraId="27E89799"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1005" w:type="dxa"/>
            <w:vAlign w:val="center"/>
          </w:tcPr>
          <w:p w14:paraId="210CA2B9"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716" w:type="dxa"/>
            <w:noWrap/>
            <w:vAlign w:val="center"/>
          </w:tcPr>
          <w:p w14:paraId="7CCB5A63"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0</w:t>
            </w:r>
          </w:p>
        </w:tc>
        <w:tc>
          <w:tcPr>
            <w:tcW w:w="1061" w:type="dxa"/>
            <w:vAlign w:val="center"/>
          </w:tcPr>
          <w:p w14:paraId="2057773C" w14:textId="77777777" w:rsidR="000C6E07" w:rsidRPr="000C6E07" w:rsidRDefault="000C6E07" w:rsidP="000C6E07">
            <w:pPr>
              <w:spacing w:after="0"/>
              <w:ind w:firstLine="91"/>
              <w:jc w:val="center"/>
              <w:rPr>
                <w:color w:val="000000"/>
                <w:sz w:val="20"/>
                <w:szCs w:val="20"/>
                <w:lang w:val="ro-RO" w:eastAsia="ro-RO"/>
              </w:rPr>
            </w:pPr>
            <w:r w:rsidRPr="000C6E07">
              <w:rPr>
                <w:color w:val="000000"/>
                <w:sz w:val="20"/>
                <w:szCs w:val="20"/>
                <w:lang w:val="ro-RO" w:eastAsia="ro-RO"/>
              </w:rPr>
              <w:t>1</w:t>
            </w:r>
          </w:p>
        </w:tc>
      </w:tr>
      <w:tr w:rsidR="000C6E07" w:rsidRPr="000C6E07" w14:paraId="3786FEEF" w14:textId="77777777" w:rsidTr="000C6E07">
        <w:trPr>
          <w:trHeight w:val="315"/>
          <w:jc w:val="center"/>
        </w:trPr>
        <w:tc>
          <w:tcPr>
            <w:tcW w:w="3825" w:type="dxa"/>
            <w:vAlign w:val="center"/>
          </w:tcPr>
          <w:p w14:paraId="6F049A37" w14:textId="77777777" w:rsidR="000C6E07" w:rsidRPr="000C6E07" w:rsidRDefault="000C6E07" w:rsidP="000C6E07">
            <w:pPr>
              <w:spacing w:after="0"/>
              <w:ind w:firstLine="91"/>
              <w:rPr>
                <w:b/>
                <w:color w:val="000000"/>
                <w:sz w:val="20"/>
                <w:szCs w:val="20"/>
                <w:lang w:val="ro-RO" w:eastAsia="ro-RO"/>
              </w:rPr>
            </w:pPr>
            <w:r w:rsidRPr="000C6E07">
              <w:rPr>
                <w:b/>
                <w:color w:val="000000"/>
                <w:sz w:val="20"/>
                <w:szCs w:val="20"/>
                <w:lang w:val="ro-RO" w:eastAsia="ro-RO"/>
              </w:rPr>
              <w:t>Total raporturi de serviciu încetate</w:t>
            </w:r>
          </w:p>
        </w:tc>
        <w:tc>
          <w:tcPr>
            <w:tcW w:w="805" w:type="dxa"/>
            <w:noWrap/>
            <w:vAlign w:val="center"/>
          </w:tcPr>
          <w:p w14:paraId="1E9D1882"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92</w:t>
            </w:r>
          </w:p>
        </w:tc>
        <w:tc>
          <w:tcPr>
            <w:tcW w:w="1005" w:type="dxa"/>
            <w:vAlign w:val="center"/>
          </w:tcPr>
          <w:p w14:paraId="0BC1F5B1"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226</w:t>
            </w:r>
          </w:p>
        </w:tc>
        <w:tc>
          <w:tcPr>
            <w:tcW w:w="844" w:type="dxa"/>
            <w:noWrap/>
            <w:vAlign w:val="center"/>
          </w:tcPr>
          <w:p w14:paraId="2AFB3F33"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83</w:t>
            </w:r>
          </w:p>
        </w:tc>
        <w:tc>
          <w:tcPr>
            <w:tcW w:w="1005" w:type="dxa"/>
            <w:vAlign w:val="center"/>
          </w:tcPr>
          <w:p w14:paraId="03B44E57"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151</w:t>
            </w:r>
          </w:p>
        </w:tc>
        <w:tc>
          <w:tcPr>
            <w:tcW w:w="716" w:type="dxa"/>
            <w:noWrap/>
            <w:vAlign w:val="center"/>
          </w:tcPr>
          <w:p w14:paraId="372E05AB"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64</w:t>
            </w:r>
          </w:p>
        </w:tc>
        <w:tc>
          <w:tcPr>
            <w:tcW w:w="1061" w:type="dxa"/>
            <w:vAlign w:val="center"/>
          </w:tcPr>
          <w:p w14:paraId="7B9C5572"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124</w:t>
            </w:r>
          </w:p>
        </w:tc>
      </w:tr>
      <w:tr w:rsidR="000C6E07" w:rsidRPr="000C6E07" w14:paraId="45F70291" w14:textId="77777777" w:rsidTr="000C6E07">
        <w:trPr>
          <w:trHeight w:val="315"/>
          <w:jc w:val="center"/>
        </w:trPr>
        <w:tc>
          <w:tcPr>
            <w:tcW w:w="3825" w:type="dxa"/>
            <w:vAlign w:val="center"/>
          </w:tcPr>
          <w:p w14:paraId="50EEEEDD" w14:textId="77777777" w:rsidR="000C6E07" w:rsidRPr="000C6E07" w:rsidRDefault="000C6E07" w:rsidP="000C6E07">
            <w:pPr>
              <w:spacing w:after="0"/>
              <w:ind w:firstLine="91"/>
              <w:rPr>
                <w:b/>
                <w:color w:val="000000"/>
                <w:sz w:val="20"/>
                <w:szCs w:val="20"/>
                <w:lang w:val="ro-RO" w:eastAsia="ro-RO"/>
              </w:rPr>
            </w:pPr>
            <w:r w:rsidRPr="000C6E07">
              <w:rPr>
                <w:b/>
                <w:bCs/>
                <w:color w:val="000000"/>
                <w:sz w:val="20"/>
                <w:szCs w:val="20"/>
                <w:lang w:val="ro-RO"/>
              </w:rPr>
              <w:t>Efectivul total</w:t>
            </w:r>
          </w:p>
        </w:tc>
        <w:tc>
          <w:tcPr>
            <w:tcW w:w="805" w:type="dxa"/>
            <w:noWrap/>
            <w:vAlign w:val="center"/>
          </w:tcPr>
          <w:p w14:paraId="794E7E88"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416</w:t>
            </w:r>
          </w:p>
        </w:tc>
        <w:tc>
          <w:tcPr>
            <w:tcW w:w="1005" w:type="dxa"/>
            <w:vAlign w:val="center"/>
          </w:tcPr>
          <w:p w14:paraId="535916F9"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652</w:t>
            </w:r>
          </w:p>
        </w:tc>
        <w:tc>
          <w:tcPr>
            <w:tcW w:w="844" w:type="dxa"/>
            <w:noWrap/>
            <w:vAlign w:val="center"/>
          </w:tcPr>
          <w:p w14:paraId="1BD33A22"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411</w:t>
            </w:r>
          </w:p>
        </w:tc>
        <w:tc>
          <w:tcPr>
            <w:tcW w:w="1005" w:type="dxa"/>
            <w:vAlign w:val="center"/>
          </w:tcPr>
          <w:p w14:paraId="1169DE81"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600</w:t>
            </w:r>
          </w:p>
        </w:tc>
        <w:tc>
          <w:tcPr>
            <w:tcW w:w="716" w:type="dxa"/>
            <w:noWrap/>
            <w:vAlign w:val="center"/>
          </w:tcPr>
          <w:p w14:paraId="2589BE87"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409</w:t>
            </w:r>
          </w:p>
        </w:tc>
        <w:tc>
          <w:tcPr>
            <w:tcW w:w="1061" w:type="dxa"/>
            <w:vAlign w:val="center"/>
          </w:tcPr>
          <w:p w14:paraId="305EF558" w14:textId="77777777" w:rsidR="000C6E07" w:rsidRPr="000C6E07" w:rsidRDefault="000C6E07" w:rsidP="000C6E07">
            <w:pPr>
              <w:spacing w:after="0"/>
              <w:ind w:firstLine="91"/>
              <w:jc w:val="center"/>
              <w:rPr>
                <w:b/>
                <w:bCs/>
                <w:color w:val="000000"/>
                <w:sz w:val="20"/>
                <w:szCs w:val="20"/>
                <w:lang w:val="ro-RO"/>
              </w:rPr>
            </w:pPr>
            <w:r w:rsidRPr="000C6E07">
              <w:rPr>
                <w:b/>
                <w:bCs/>
                <w:color w:val="000000"/>
                <w:sz w:val="20"/>
                <w:szCs w:val="20"/>
                <w:lang w:val="ro-RO"/>
              </w:rPr>
              <w:t>563</w:t>
            </w:r>
          </w:p>
        </w:tc>
      </w:tr>
    </w:tbl>
    <w:p w14:paraId="302A4719" w14:textId="77777777" w:rsidR="000C6E07" w:rsidRPr="000C6E07" w:rsidRDefault="000C6E07" w:rsidP="000C6E07">
      <w:pPr>
        <w:spacing w:after="120"/>
        <w:ind w:firstLine="539"/>
        <w:jc w:val="center"/>
        <w:rPr>
          <w:i/>
          <w:sz w:val="24"/>
          <w:szCs w:val="24"/>
          <w:lang w:val="ro-RO" w:eastAsia="ro-RO"/>
        </w:rPr>
      </w:pPr>
      <w:r w:rsidRPr="000C6E07">
        <w:rPr>
          <w:b/>
          <w:sz w:val="24"/>
          <w:szCs w:val="24"/>
          <w:lang w:val="ro-RO" w:eastAsia="ro-RO"/>
        </w:rPr>
        <w:t>Sursa:</w:t>
      </w:r>
      <w:r w:rsidRPr="000C6E07">
        <w:rPr>
          <w:i/>
          <w:sz w:val="24"/>
          <w:szCs w:val="24"/>
          <w:lang w:val="ro-RO" w:eastAsia="ro-RO"/>
        </w:rPr>
        <w:t xml:space="preserve"> Inspectoratul General de Carabinieri</w:t>
      </w:r>
    </w:p>
    <w:p w14:paraId="60F65C6D" w14:textId="77777777" w:rsidR="000C6E07" w:rsidRPr="000C6E07" w:rsidRDefault="000C6E07" w:rsidP="000C6E07">
      <w:pPr>
        <w:spacing w:after="0"/>
        <w:ind w:firstLine="540"/>
        <w:jc w:val="both"/>
        <w:rPr>
          <w:sz w:val="24"/>
          <w:lang w:val="ro-RO"/>
        </w:rPr>
      </w:pPr>
      <w:r w:rsidRPr="000C6E07">
        <w:rPr>
          <w:sz w:val="24"/>
          <w:lang w:val="ro-RO"/>
        </w:rPr>
        <w:t>Înghețarea a peste jumătate din funcțiile vacante limitează capacitatea instituției de a acoperi necesitățile operaționale și de a răspunde eficient provocărilor curente. Rata ridicată a demisiilor reflectă o presiune continuă asupra resurselor umane și relevă nevoia unor măsuri sustenabile de retenție, motivare și înnoire a efectivului.</w:t>
      </w:r>
    </w:p>
    <w:p w14:paraId="6644B356" w14:textId="77777777" w:rsidR="000C6E07" w:rsidRPr="000C6E07" w:rsidRDefault="000C6E07" w:rsidP="000C6E07">
      <w:pPr>
        <w:spacing w:after="0"/>
        <w:ind w:firstLine="540"/>
        <w:jc w:val="both"/>
        <w:rPr>
          <w:color w:val="0070C0"/>
          <w:szCs w:val="24"/>
          <w:lang w:val="ro-RO"/>
        </w:rPr>
      </w:pPr>
      <w:r w:rsidRPr="000C6E07">
        <w:rPr>
          <w:sz w:val="24"/>
          <w:lang w:val="ro-RO"/>
        </w:rPr>
        <w:t xml:space="preserve">Din perspectiva structurii pe sexe a efectivului (Figura 12), în anul 2024 </w:t>
      </w:r>
      <w:r w:rsidRPr="000C6E07">
        <w:rPr>
          <w:b/>
          <w:sz w:val="24"/>
          <w:lang w:val="ro-RO"/>
        </w:rPr>
        <w:t xml:space="preserve">s-a înregistrat o creștere a ponderii angajatelor de </w:t>
      </w:r>
      <w:r w:rsidRPr="000C6E07">
        <w:rPr>
          <w:b/>
          <w:sz w:val="24"/>
          <w:szCs w:val="24"/>
          <w:lang w:val="ro-RO" w:eastAsia="ro-RO"/>
        </w:rPr>
        <w:t>sex</w:t>
      </w:r>
      <w:r w:rsidRPr="000C6E07">
        <w:rPr>
          <w:b/>
          <w:sz w:val="24"/>
          <w:lang w:val="ro-RO"/>
        </w:rPr>
        <w:t xml:space="preserve"> feminin atât în cadrul IGP, cât și al IGC.</w:t>
      </w:r>
      <w:r w:rsidRPr="000C6E07">
        <w:rPr>
          <w:sz w:val="24"/>
          <w:lang w:val="ro-RO"/>
        </w:rPr>
        <w:t xml:space="preserve"> Astfel, în IGP, ponderea femeilor a crescut la 23,7%, față de 22,3% în 2021, iar în IGC, aceasta a ajuns la 19,4%, comparativ cu 15,6% în 2021. Tendința de creștere s-a manifestat la nivelul tuturor subdiviziunilor celor două instituții, cu excepția aparatului central al IGP, unde ponderea a rămas neschimbată, și a INSP, unde s-a înregistrat o scădere, de la 13,4% în 2021 la 12% în 2024.</w:t>
      </w:r>
    </w:p>
    <w:p w14:paraId="74A0E01A" w14:textId="77777777" w:rsidR="000C6E07" w:rsidRPr="000C6E07" w:rsidRDefault="000C6E07" w:rsidP="000C6E07">
      <w:pPr>
        <w:pStyle w:val="Normal3"/>
        <w:spacing w:before="0" w:beforeAutospacing="0" w:after="0" w:line="240" w:lineRule="auto"/>
        <w:jc w:val="center"/>
        <w:rPr>
          <w:rFonts w:ascii="Times New Roman" w:hAnsi="Times New Roman"/>
          <w:color w:val="0070C0"/>
          <w:sz w:val="24"/>
          <w:szCs w:val="24"/>
          <w:lang w:val="ro-RO"/>
        </w:rPr>
      </w:pPr>
      <w:r w:rsidRPr="000C6E07">
        <w:rPr>
          <w:noProof/>
          <w:lang w:val="ro-RO"/>
        </w:rPr>
        <w:drawing>
          <wp:inline distT="0" distB="0" distL="0" distR="0" wp14:anchorId="33BD117E" wp14:editId="7754F114">
            <wp:extent cx="5940000" cy="1944000"/>
            <wp:effectExtent l="0" t="0" r="381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AC23AEE" w14:textId="77777777" w:rsidR="000C6E07" w:rsidRPr="000C6E07" w:rsidRDefault="000C6E07" w:rsidP="000C6E07">
      <w:pPr>
        <w:pStyle w:val="Normal3"/>
        <w:spacing w:before="0" w:beforeAutospacing="0" w:after="0" w:line="240" w:lineRule="auto"/>
        <w:jc w:val="center"/>
        <w:rPr>
          <w:rFonts w:ascii="Times New Roman" w:hAnsi="Times New Roman"/>
          <w:color w:val="0070C0"/>
          <w:sz w:val="24"/>
          <w:szCs w:val="24"/>
          <w:lang w:val="ro-RO"/>
        </w:rPr>
      </w:pPr>
      <w:r w:rsidRPr="000C6E07">
        <w:rPr>
          <w:noProof/>
          <w:lang w:val="ro-RO"/>
        </w:rPr>
        <w:lastRenderedPageBreak/>
        <w:drawing>
          <wp:inline distT="0" distB="0" distL="0" distR="0" wp14:anchorId="10B17219" wp14:editId="0272D6DE">
            <wp:extent cx="5940000" cy="1944000"/>
            <wp:effectExtent l="0" t="0" r="381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5BB578" w14:textId="77777777" w:rsidR="000C6E07" w:rsidRPr="000C6E07" w:rsidRDefault="000C6E07" w:rsidP="000C6E07">
      <w:pPr>
        <w:pStyle w:val="Normal3"/>
        <w:spacing w:before="0" w:beforeAutospacing="0" w:after="0" w:line="240" w:lineRule="auto"/>
        <w:ind w:firstLine="540"/>
        <w:jc w:val="center"/>
        <w:rPr>
          <w:rFonts w:ascii="Times New Roman" w:hAnsi="Times New Roman"/>
          <w:b/>
          <w:sz w:val="24"/>
          <w:szCs w:val="24"/>
          <w:lang w:val="ro-RO"/>
        </w:rPr>
      </w:pPr>
      <w:r w:rsidRPr="000C6E07">
        <w:rPr>
          <w:rFonts w:ascii="Times New Roman" w:hAnsi="Times New Roman"/>
          <w:b/>
          <w:sz w:val="24"/>
          <w:szCs w:val="24"/>
          <w:lang w:val="ro-RO"/>
        </w:rPr>
        <w:t xml:space="preserve">Figura 12. </w:t>
      </w:r>
      <w:r w:rsidRPr="000C6E07">
        <w:rPr>
          <w:rFonts w:ascii="Times New Roman" w:hAnsi="Times New Roman"/>
          <w:i/>
          <w:sz w:val="24"/>
          <w:szCs w:val="24"/>
          <w:lang w:val="ro-RO"/>
        </w:rPr>
        <w:t>Distribuire pe sexe a angajaților IGP și IGC (2021 și 2024)</w:t>
      </w:r>
    </w:p>
    <w:p w14:paraId="214DA3D9" w14:textId="77777777" w:rsidR="000C6E07" w:rsidRPr="000C6E07" w:rsidRDefault="000C6E07" w:rsidP="000C6E07">
      <w:pPr>
        <w:pStyle w:val="Normal3"/>
        <w:spacing w:before="0" w:beforeAutospacing="0" w:after="120" w:line="240" w:lineRule="auto"/>
        <w:jc w:val="center"/>
        <w:rPr>
          <w:rFonts w:ascii="Times New Roman" w:hAnsi="Times New Roman"/>
          <w:i/>
          <w:sz w:val="24"/>
          <w:szCs w:val="24"/>
          <w:lang w:val="ro-RO" w:eastAsia="ro-RO"/>
        </w:rPr>
      </w:pPr>
      <w:r w:rsidRPr="000C6E07">
        <w:rPr>
          <w:rFonts w:ascii="Times New Roman" w:hAnsi="Times New Roman"/>
          <w:b/>
          <w:sz w:val="24"/>
          <w:szCs w:val="24"/>
          <w:lang w:val="ro-RO" w:eastAsia="ro-RO"/>
        </w:rPr>
        <w:t>Sursa:</w:t>
      </w:r>
      <w:r w:rsidRPr="000C6E07">
        <w:rPr>
          <w:rFonts w:ascii="Times New Roman" w:hAnsi="Times New Roman"/>
          <w:i/>
          <w:sz w:val="24"/>
          <w:szCs w:val="24"/>
          <w:lang w:val="ro-RO" w:eastAsia="ro-RO"/>
        </w:rPr>
        <w:t xml:space="preserve"> Inspectoratul General al Poliției, Inspectoratul General de Carabinieri</w:t>
      </w:r>
    </w:p>
    <w:p w14:paraId="3A937AD9" w14:textId="77777777" w:rsidR="000C6E07" w:rsidRPr="000C6E07" w:rsidRDefault="000C6E07" w:rsidP="000C6E07">
      <w:pPr>
        <w:spacing w:after="0"/>
        <w:ind w:firstLine="540"/>
        <w:jc w:val="both"/>
        <w:rPr>
          <w:sz w:val="24"/>
          <w:lang w:val="ro-RO"/>
        </w:rPr>
      </w:pPr>
      <w:r w:rsidRPr="000C6E07">
        <w:rPr>
          <w:sz w:val="24"/>
          <w:lang w:val="ro-RO"/>
        </w:rPr>
        <w:t>Ponderea funcțiilor de conducere ocupate de femei a înregistrat o creștere în toate subdiviziunile IGP și IGC. Cea mai semnificativă creștere s-a înregistrat în aparatul central al IGP, unde în 2024 femeile ocupau 28,6% din funcțiile de conducere, cu peste 15 puncte procentuale mai mult decât în 2021. Un aspect notabil este că, în cadrul comandamentului general al IGC, ponderea femeilor în funcții de conducere (24,2%) este aproape identică cu ponderea femeilor în totalul angajaților (24,3%), indicând o reprezentativitate deplină în structurile de conducere. De asemenea, în cadrul INSP, ponderea femeilor în funcții de conducere (15,2%) depășește chiar ponderea acestora în totalul angajaților (12%). (Figura 13)</w:t>
      </w:r>
    </w:p>
    <w:p w14:paraId="46DCA774" w14:textId="77777777" w:rsidR="000C6E07" w:rsidRPr="000C6E07" w:rsidRDefault="000C6E07" w:rsidP="000C6E07">
      <w:pPr>
        <w:spacing w:after="0"/>
        <w:jc w:val="center"/>
        <w:rPr>
          <w:sz w:val="24"/>
          <w:szCs w:val="24"/>
          <w:lang w:val="ro-RO"/>
        </w:rPr>
      </w:pPr>
      <w:r w:rsidRPr="000C6E07">
        <w:rPr>
          <w:noProof/>
          <w:lang w:val="ro-RO"/>
        </w:rPr>
        <w:drawing>
          <wp:inline distT="0" distB="0" distL="0" distR="0" wp14:anchorId="0AA9B574" wp14:editId="2BA2DC77">
            <wp:extent cx="5940000" cy="1980000"/>
            <wp:effectExtent l="0" t="0" r="3810" b="127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10F811" w14:textId="77777777" w:rsidR="000C6E07" w:rsidRPr="000C6E07" w:rsidRDefault="000C6E07" w:rsidP="000C6E07">
      <w:pPr>
        <w:pStyle w:val="Normal3"/>
        <w:spacing w:before="0" w:beforeAutospacing="0" w:after="0" w:line="240" w:lineRule="auto"/>
        <w:jc w:val="center"/>
        <w:rPr>
          <w:rFonts w:ascii="Times New Roman" w:hAnsi="Times New Roman"/>
          <w:sz w:val="24"/>
          <w:szCs w:val="24"/>
          <w:lang w:val="ro-RO"/>
        </w:rPr>
      </w:pPr>
      <w:r w:rsidRPr="000C6E07">
        <w:rPr>
          <w:noProof/>
          <w:lang w:val="ro-RO"/>
        </w:rPr>
        <w:drawing>
          <wp:inline distT="0" distB="0" distL="0" distR="0" wp14:anchorId="21F089FB" wp14:editId="23EA14BA">
            <wp:extent cx="5940000" cy="1980000"/>
            <wp:effectExtent l="0" t="0" r="3810" b="12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8095F5F" w14:textId="77777777" w:rsidR="000C6E07" w:rsidRPr="000C6E07" w:rsidRDefault="000C6E07" w:rsidP="000C6E07">
      <w:pPr>
        <w:pStyle w:val="Normal3"/>
        <w:spacing w:before="0" w:beforeAutospacing="0" w:after="0" w:line="240" w:lineRule="auto"/>
        <w:ind w:firstLine="540"/>
        <w:jc w:val="center"/>
        <w:rPr>
          <w:rFonts w:ascii="Times New Roman" w:hAnsi="Times New Roman"/>
          <w:b/>
          <w:sz w:val="24"/>
          <w:szCs w:val="24"/>
          <w:lang w:val="ro-RO"/>
        </w:rPr>
      </w:pPr>
      <w:r w:rsidRPr="000C6E07">
        <w:rPr>
          <w:rFonts w:ascii="Times New Roman" w:hAnsi="Times New Roman"/>
          <w:b/>
          <w:sz w:val="24"/>
          <w:szCs w:val="24"/>
          <w:lang w:val="ro-RO"/>
        </w:rPr>
        <w:t xml:space="preserve">Figura 13. </w:t>
      </w:r>
      <w:r w:rsidRPr="000C6E07">
        <w:rPr>
          <w:rFonts w:ascii="Times New Roman" w:hAnsi="Times New Roman"/>
          <w:i/>
          <w:sz w:val="24"/>
          <w:szCs w:val="24"/>
          <w:lang w:val="ro-RO"/>
        </w:rPr>
        <w:t>Distribuire pe sexe a funcțiilor de conducere în IGP și IGC (2021 și 2024)</w:t>
      </w:r>
    </w:p>
    <w:p w14:paraId="3A9C8605" w14:textId="77777777" w:rsidR="000C6E07" w:rsidRPr="000C6E07" w:rsidRDefault="000C6E07" w:rsidP="000C6E07">
      <w:pPr>
        <w:pStyle w:val="Normal3"/>
        <w:spacing w:before="0" w:beforeAutospacing="0" w:after="120" w:line="240" w:lineRule="auto"/>
        <w:jc w:val="center"/>
        <w:rPr>
          <w:rFonts w:ascii="Times New Roman" w:hAnsi="Times New Roman"/>
          <w:i/>
          <w:sz w:val="24"/>
          <w:szCs w:val="24"/>
          <w:lang w:val="ro-RO" w:eastAsia="ro-RO"/>
        </w:rPr>
      </w:pPr>
      <w:r w:rsidRPr="000C6E07">
        <w:rPr>
          <w:rFonts w:ascii="Times New Roman" w:hAnsi="Times New Roman"/>
          <w:b/>
          <w:sz w:val="24"/>
          <w:szCs w:val="24"/>
          <w:lang w:val="ro-RO" w:eastAsia="ro-RO"/>
        </w:rPr>
        <w:t>Sursa:</w:t>
      </w:r>
      <w:r w:rsidRPr="000C6E07">
        <w:rPr>
          <w:rFonts w:ascii="Times New Roman" w:hAnsi="Times New Roman"/>
          <w:i/>
          <w:sz w:val="24"/>
          <w:szCs w:val="24"/>
          <w:lang w:val="ro-RO" w:eastAsia="ro-RO"/>
        </w:rPr>
        <w:t xml:space="preserve"> Inspectoratul General al Poliției, Inspectoratul General de Carabinieri</w:t>
      </w:r>
    </w:p>
    <w:p w14:paraId="21CE44BC" w14:textId="77777777" w:rsidR="000C6E07" w:rsidRPr="000C6E07" w:rsidRDefault="000C6E07" w:rsidP="000C6E07">
      <w:pPr>
        <w:spacing w:after="0"/>
        <w:ind w:firstLine="540"/>
        <w:jc w:val="both"/>
        <w:rPr>
          <w:sz w:val="24"/>
          <w:lang w:val="ro-RO"/>
        </w:rPr>
      </w:pPr>
      <w:r w:rsidRPr="000C6E07">
        <w:rPr>
          <w:sz w:val="24"/>
          <w:szCs w:val="24"/>
          <w:lang w:val="ro-RO"/>
        </w:rPr>
        <w:t xml:space="preserve">În </w:t>
      </w:r>
      <w:r w:rsidRPr="000C6E07">
        <w:rPr>
          <w:sz w:val="24"/>
          <w:lang w:val="ro-RO"/>
        </w:rPr>
        <w:t xml:space="preserve">cadrul IGC, angajatele sunt implicate preponderent în activități administrative, reprezentând 62% din total, în timp ce doar 38% sunt antrenate în activități de ordine și securitate publică sau paza ambasadelor. Situația este similară și în cadrul IGP, unde, deși se observă o ușoară diversificare a atribuțiilor, majoritatea polițistelor continuă să activeze în domeniul administrativ (42%), dar această pondere este în scădere comparativ cu anul 2021 (52%). Totodată, implicarea femeilor în activități de ordine publică în cadrul IGP a crescut semnificativ, ajungând la 34% în 2024, față de 25% în 2021. Această evoluție poate indica o deschidere treptată spre o mai mare integrare a femeilor în funcții care necesită prezență activă în teren. Ponderea femeilor în activități de investigație și urmărire penală rămâne relativ </w:t>
      </w:r>
      <w:r w:rsidRPr="000C6E07">
        <w:rPr>
          <w:sz w:val="24"/>
          <w:lang w:val="ro-RO"/>
        </w:rPr>
        <w:lastRenderedPageBreak/>
        <w:t>constantă – 8% și respectiv 16%, ceea ce sugerează că accesul la aceste domenii specializate rămâne limitat sau că persistă o repartizare tradițională a sarcinilor între angajații de gen feminin și masculin.</w:t>
      </w:r>
    </w:p>
    <w:p w14:paraId="012FAEC0" w14:textId="77777777" w:rsidR="000C6E07" w:rsidRPr="000C6E07" w:rsidRDefault="000C6E07" w:rsidP="000C6E07">
      <w:pPr>
        <w:spacing w:after="120"/>
        <w:ind w:firstLine="539"/>
        <w:jc w:val="both"/>
        <w:rPr>
          <w:sz w:val="24"/>
          <w:lang w:val="ro-RO"/>
        </w:rPr>
      </w:pPr>
      <w:r w:rsidRPr="000C6E07">
        <w:rPr>
          <w:sz w:val="24"/>
          <w:lang w:val="ro-RO"/>
        </w:rPr>
        <w:t xml:space="preserve">Această distribuție denotă încă o segregare ocupațională de gen, cu o concentrare a femeilor în funcții de suport și mai puțin în cele cu impact direct asupra executării misiunilor operative sau decizionale, ceea ce oferă și oportunități mai reduse de </w:t>
      </w:r>
      <w:r w:rsidRPr="000C6E07">
        <w:rPr>
          <w:sz w:val="24"/>
          <w:szCs w:val="24"/>
          <w:lang w:val="ro-RO"/>
        </w:rPr>
        <w:t>accedere în funcții de conducere.</w:t>
      </w:r>
      <w:r w:rsidRPr="000C6E07">
        <w:rPr>
          <w:sz w:val="24"/>
          <w:lang w:val="ro-RO"/>
        </w:rPr>
        <w:t xml:space="preserve"> Deși se observă progrese punctuale, mai ales în activitățile de ordine publică, este necesară în continuare o abordare strategică pentru creșterea reprezentării echilibrate a femeilor în toate tipurile de activități profesionale din cadrul instituțiilor de ordine publică.</w:t>
      </w:r>
    </w:p>
    <w:p w14:paraId="1D4FB60C" w14:textId="36388E17" w:rsidR="000C6E07" w:rsidRPr="000C6E07" w:rsidRDefault="000C6E07" w:rsidP="000C6E07">
      <w:pPr>
        <w:pStyle w:val="Normal3"/>
        <w:spacing w:before="0" w:beforeAutospacing="0" w:after="0" w:line="240" w:lineRule="auto"/>
        <w:jc w:val="center"/>
        <w:rPr>
          <w:lang w:val="ro-RO"/>
        </w:rPr>
      </w:pPr>
      <w:r w:rsidRPr="000C6E07">
        <w:rPr>
          <w:noProof/>
          <w:lang w:val="ro-RO"/>
        </w:rPr>
        <w:drawing>
          <wp:inline distT="0" distB="0" distL="0" distR="0" wp14:anchorId="6629D7AE" wp14:editId="6E4427EE">
            <wp:extent cx="3355200" cy="1620000"/>
            <wp:effectExtent l="0" t="0" r="17145" b="18415"/>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C6E07">
        <w:rPr>
          <w:noProof/>
          <w:lang w:val="ro-RO"/>
        </w:rPr>
        <w:drawing>
          <wp:inline distT="0" distB="0" distL="0" distR="0" wp14:anchorId="47BCC567" wp14:editId="2FEDE8A5">
            <wp:extent cx="2520000" cy="1620000"/>
            <wp:effectExtent l="0" t="0" r="13970" b="1841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607A9FA" w14:textId="77777777" w:rsidR="000C6E07" w:rsidRPr="000C6E07" w:rsidRDefault="000C6E07" w:rsidP="000C6E07">
      <w:pPr>
        <w:pStyle w:val="Normal3"/>
        <w:spacing w:before="0" w:beforeAutospacing="0" w:after="0" w:line="240" w:lineRule="auto"/>
        <w:ind w:firstLine="540"/>
        <w:jc w:val="center"/>
        <w:rPr>
          <w:rFonts w:ascii="Times New Roman" w:hAnsi="Times New Roman"/>
          <w:b/>
          <w:sz w:val="24"/>
          <w:szCs w:val="24"/>
          <w:lang w:val="ro-RO"/>
        </w:rPr>
      </w:pPr>
      <w:r w:rsidRPr="000C6E07">
        <w:rPr>
          <w:rFonts w:ascii="Times New Roman" w:hAnsi="Times New Roman"/>
          <w:b/>
          <w:sz w:val="24"/>
          <w:szCs w:val="24"/>
          <w:lang w:val="ro-RO"/>
        </w:rPr>
        <w:t xml:space="preserve">Figura 14. </w:t>
      </w:r>
      <w:r w:rsidRPr="000C6E07">
        <w:rPr>
          <w:rFonts w:ascii="Times New Roman" w:hAnsi="Times New Roman"/>
          <w:i/>
          <w:sz w:val="24"/>
          <w:szCs w:val="24"/>
          <w:lang w:val="ro-RO"/>
        </w:rPr>
        <w:t>Ponderea angajatelor de sex feminin pe domenii IGP (2021,2024)și IGC (2024)</w:t>
      </w:r>
    </w:p>
    <w:p w14:paraId="3F10A2F7" w14:textId="77777777" w:rsidR="000C6E07" w:rsidRPr="000C6E07" w:rsidRDefault="000C6E07" w:rsidP="000C6E07">
      <w:pPr>
        <w:pStyle w:val="Normal3"/>
        <w:spacing w:before="0" w:beforeAutospacing="0" w:after="120" w:line="240" w:lineRule="auto"/>
        <w:jc w:val="center"/>
        <w:rPr>
          <w:rFonts w:ascii="Times New Roman" w:hAnsi="Times New Roman"/>
          <w:i/>
          <w:sz w:val="24"/>
          <w:szCs w:val="24"/>
          <w:lang w:val="ro-RO" w:eastAsia="ro-RO"/>
        </w:rPr>
      </w:pPr>
      <w:r w:rsidRPr="000C6E07">
        <w:rPr>
          <w:rFonts w:ascii="Times New Roman" w:hAnsi="Times New Roman"/>
          <w:b/>
          <w:sz w:val="24"/>
          <w:szCs w:val="24"/>
          <w:lang w:val="ro-RO" w:eastAsia="ro-RO"/>
        </w:rPr>
        <w:t>Sursa:</w:t>
      </w:r>
      <w:r w:rsidRPr="000C6E07">
        <w:rPr>
          <w:rFonts w:ascii="Times New Roman" w:hAnsi="Times New Roman"/>
          <w:i/>
          <w:sz w:val="24"/>
          <w:szCs w:val="24"/>
          <w:lang w:val="ro-RO" w:eastAsia="ro-RO"/>
        </w:rPr>
        <w:t xml:space="preserve"> Inspectoratul General al Poliției, Inspectoratul General de Carabinieri</w:t>
      </w:r>
    </w:p>
    <w:p w14:paraId="7C48B654" w14:textId="23E610C7" w:rsidR="000C6E07" w:rsidRPr="000C6E07" w:rsidRDefault="000C6E07" w:rsidP="000C6E07">
      <w:pPr>
        <w:spacing w:after="0"/>
        <w:ind w:firstLine="540"/>
        <w:jc w:val="both"/>
        <w:rPr>
          <w:sz w:val="24"/>
          <w:szCs w:val="24"/>
          <w:lang w:val="ro-RO" w:eastAsia="ro-RO"/>
        </w:rPr>
      </w:pPr>
      <w:r w:rsidRPr="000C6E07">
        <w:rPr>
          <w:sz w:val="24"/>
          <w:szCs w:val="24"/>
          <w:lang w:val="ro-RO" w:eastAsia="ro-RO"/>
        </w:rPr>
        <w:t>IGP continuă să se confrunt</w:t>
      </w:r>
      <w:r w:rsidR="00096CC5">
        <w:rPr>
          <w:sz w:val="24"/>
          <w:szCs w:val="24"/>
          <w:lang w:val="ro-RO" w:eastAsia="ro-RO"/>
        </w:rPr>
        <w:t>e</w:t>
      </w:r>
      <w:r w:rsidRPr="000C6E07">
        <w:rPr>
          <w:sz w:val="24"/>
          <w:szCs w:val="24"/>
          <w:lang w:val="ro-RO" w:eastAsia="ro-RO"/>
        </w:rPr>
        <w:t xml:space="preserve"> cu </w:t>
      </w:r>
      <w:r w:rsidRPr="000C6E07">
        <w:rPr>
          <w:b/>
          <w:sz w:val="24"/>
          <w:szCs w:val="24"/>
          <w:lang w:val="ro-RO" w:eastAsia="ro-RO"/>
        </w:rPr>
        <w:t>riscuri semnificative legate de suprasolicitarea personalului și gestionarea ineficientă a resurselor</w:t>
      </w:r>
      <w:r w:rsidRPr="000C6E07">
        <w:rPr>
          <w:sz w:val="24"/>
          <w:szCs w:val="24"/>
          <w:lang w:val="ro-RO" w:eastAsia="ro-RO"/>
        </w:rPr>
        <w:t xml:space="preserve">, din cauza unui număr mare de posturi vacante și </w:t>
      </w:r>
      <w:r w:rsidRPr="000C6E07">
        <w:rPr>
          <w:b/>
          <w:sz w:val="24"/>
          <w:szCs w:val="24"/>
          <w:lang w:val="ro-RO" w:eastAsia="ro-RO"/>
        </w:rPr>
        <w:t>absenței unui sistem informațional automatizat pentru evidența și administrarea resurselor instituției</w:t>
      </w:r>
      <w:r w:rsidRPr="000C6E07">
        <w:rPr>
          <w:sz w:val="24"/>
          <w:szCs w:val="24"/>
          <w:lang w:val="ro-RO" w:eastAsia="ro-RO"/>
        </w:rPr>
        <w:t xml:space="preserve">. Această lipsă favorizează repartizarea inechitabilă a sarcinilor și poate duce la utilizarea abuzivă a personalului. În aceste condiții, angajații sunt adesea obligați să preia un volum de muncă destinat unui efectiv complet, iar deciziile de alocare a sarcinilor sunt influențate negativ acolo unde lipsesc competențele manageriale ale conducătorilor. Volumul mare de sarcini este agravat de </w:t>
      </w:r>
      <w:r w:rsidRPr="000C6E07">
        <w:rPr>
          <w:b/>
          <w:sz w:val="24"/>
          <w:szCs w:val="24"/>
          <w:lang w:val="ro-RO" w:eastAsia="ro-RO"/>
        </w:rPr>
        <w:t>timpul considerabil pe care angajații îl dedică activităților de raportare,</w:t>
      </w:r>
      <w:r w:rsidRPr="000C6E07">
        <w:rPr>
          <w:sz w:val="24"/>
          <w:szCs w:val="24"/>
          <w:lang w:val="ro-RO" w:eastAsia="ro-RO"/>
        </w:rPr>
        <w:t xml:space="preserve"> adesea redundante. Ca urmare, unii ofițeri de sector petrec mai mult timp la birou decât în teren, ceea ce limitează capacitatea lor de a furniza servicii directe de ordine publică. Digitalizarea proceselor de raportare și evidență ar reprezenta o soluție eficientă pentru reducerea poverii administrative și eliberarea de timp pentru activități operative.</w:t>
      </w:r>
    </w:p>
    <w:p w14:paraId="4ED9153F" w14:textId="7DD71DC3" w:rsidR="000C6E07" w:rsidRPr="000C6E07" w:rsidRDefault="000C6E07" w:rsidP="000C6E07">
      <w:pPr>
        <w:pStyle w:val="Normal3"/>
        <w:spacing w:before="0" w:beforeAutospacing="0" w:after="0" w:line="240" w:lineRule="auto"/>
        <w:ind w:firstLine="540"/>
        <w:jc w:val="both"/>
        <w:rPr>
          <w:rFonts w:ascii="Times New Roman" w:hAnsi="Times New Roman"/>
          <w:sz w:val="24"/>
          <w:szCs w:val="24"/>
          <w:lang w:val="ro-RO"/>
        </w:rPr>
      </w:pPr>
      <w:r w:rsidRPr="000C6E07">
        <w:rPr>
          <w:rFonts w:ascii="Times New Roman" w:hAnsi="Times New Roman"/>
          <w:b/>
          <w:sz w:val="24"/>
          <w:szCs w:val="24"/>
          <w:lang w:val="ro-RO"/>
        </w:rPr>
        <w:t xml:space="preserve">Polițiștii sunt adesea victime ale maltratării și ultragierii, dar fenomenul a fost în descreștere în ultimii ani. </w:t>
      </w:r>
      <w:r w:rsidRPr="000C6E07">
        <w:rPr>
          <w:rFonts w:ascii="Times New Roman" w:hAnsi="Times New Roman"/>
          <w:sz w:val="24"/>
          <w:szCs w:val="24"/>
          <w:lang w:val="ro-RO"/>
        </w:rPr>
        <w:t xml:space="preserve">(Figura 15). În anul 2024, au fost înregistrate 153 de cazuri de maltratare, în care au fost vizați 259 de polițiști și 449 de cazuri de ultragiere. Numărul de ultragieri a scăzut semnificativ comparativ cu anul 2021 când au fost înregistrate 1109 astfel de cazuri, aproape în totalitatea contra </w:t>
      </w:r>
      <w:r w:rsidR="00096CC5">
        <w:rPr>
          <w:rFonts w:ascii="Times New Roman" w:hAnsi="Times New Roman"/>
          <w:sz w:val="24"/>
          <w:szCs w:val="24"/>
          <w:lang w:val="ro-RO"/>
        </w:rPr>
        <w:t>P</w:t>
      </w:r>
      <w:r w:rsidRPr="000C6E07">
        <w:rPr>
          <w:rFonts w:ascii="Times New Roman" w:hAnsi="Times New Roman"/>
          <w:sz w:val="24"/>
          <w:szCs w:val="24"/>
          <w:lang w:val="ro-RO"/>
        </w:rPr>
        <w:t xml:space="preserve">oliției. La fel a scăzut și numărul anual de </w:t>
      </w:r>
      <w:r w:rsidRPr="00B63119">
        <w:rPr>
          <w:rFonts w:ascii="Times New Roman" w:hAnsi="Times New Roman"/>
          <w:sz w:val="24"/>
          <w:szCs w:val="24"/>
          <w:lang w:val="ro-RO"/>
        </w:rPr>
        <w:t xml:space="preserve">maltratări comparativ cu anul 2021, dar într-o proporție mult mai mică. În general observăm că </w:t>
      </w:r>
      <w:r w:rsidRPr="00B63119">
        <w:rPr>
          <w:rFonts w:ascii="Times New Roman" w:hAnsi="Times New Roman"/>
          <w:b/>
          <w:sz w:val="24"/>
          <w:szCs w:val="24"/>
          <w:lang w:val="ro-RO"/>
        </w:rPr>
        <w:t>acțiunile de maltratare și ultragiere au vizat preponderent polițiștii și în proporție mult mai mică carabinierii</w:t>
      </w:r>
      <w:r w:rsidRPr="00B63119">
        <w:rPr>
          <w:rFonts w:ascii="Times New Roman" w:hAnsi="Times New Roman"/>
          <w:sz w:val="24"/>
          <w:szCs w:val="24"/>
          <w:lang w:val="ro-RO"/>
        </w:rPr>
        <w:t xml:space="preserve">. </w:t>
      </w:r>
      <w:r w:rsidR="00096CC5" w:rsidRPr="00B63119">
        <w:rPr>
          <w:rFonts w:ascii="Times New Roman" w:hAnsi="Times New Roman"/>
          <w:sz w:val="24"/>
          <w:szCs w:val="24"/>
          <w:lang w:val="ro-RO"/>
        </w:rPr>
        <w:t xml:space="preserve">Acest fenomen se explică prin </w:t>
      </w:r>
      <w:r w:rsidRPr="00B63119">
        <w:rPr>
          <w:rFonts w:ascii="Times New Roman" w:hAnsi="Times New Roman"/>
          <w:sz w:val="24"/>
          <w:szCs w:val="24"/>
          <w:lang w:val="ro-RO"/>
        </w:rPr>
        <w:t>natura atribuțiilor care îi expun mai rar la situații conflictuale cu populația</w:t>
      </w:r>
      <w:r w:rsidR="00096CC5" w:rsidRPr="00B63119">
        <w:rPr>
          <w:rFonts w:ascii="Times New Roman" w:hAnsi="Times New Roman"/>
          <w:sz w:val="24"/>
          <w:szCs w:val="24"/>
          <w:lang w:val="ro-RO"/>
        </w:rPr>
        <w:t>, dar și de numărul mai mic de carabinieri comparativ cu polițiștii.</w:t>
      </w:r>
      <w:r w:rsidR="00096CC5" w:rsidRPr="00096CC5">
        <w:rPr>
          <w:rFonts w:ascii="Times New Roman" w:hAnsi="Times New Roman"/>
          <w:sz w:val="24"/>
          <w:szCs w:val="24"/>
          <w:lang w:val="ro-RO"/>
        </w:rPr>
        <w:t xml:space="preserve"> </w:t>
      </w:r>
      <w:r w:rsidRPr="000C6E07">
        <w:rPr>
          <w:rFonts w:ascii="Times New Roman" w:hAnsi="Times New Roman"/>
          <w:sz w:val="24"/>
          <w:szCs w:val="24"/>
          <w:lang w:val="ro-RO"/>
        </w:rPr>
        <w:t xml:space="preserve"> </w:t>
      </w:r>
    </w:p>
    <w:p w14:paraId="7910EB0C" w14:textId="54C1280D" w:rsidR="000C6E07" w:rsidRPr="000C6E07" w:rsidRDefault="000C6E07" w:rsidP="000C6E07">
      <w:pPr>
        <w:pStyle w:val="Normal3"/>
        <w:spacing w:before="0" w:beforeAutospacing="0" w:after="0" w:line="240" w:lineRule="auto"/>
        <w:ind w:firstLine="540"/>
        <w:jc w:val="both"/>
        <w:rPr>
          <w:rFonts w:ascii="Times New Roman" w:hAnsi="Times New Roman"/>
          <w:color w:val="0070C0"/>
          <w:sz w:val="24"/>
          <w:szCs w:val="24"/>
          <w:lang w:val="ro-RO"/>
        </w:rPr>
      </w:pPr>
      <w:r w:rsidRPr="000C6E07">
        <w:rPr>
          <w:rFonts w:ascii="Times New Roman" w:hAnsi="Times New Roman"/>
          <w:sz w:val="24"/>
          <w:szCs w:val="24"/>
          <w:lang w:val="ro-RO"/>
        </w:rPr>
        <w:t xml:space="preserve">Agresivitatea în privința angajaților crește percepția de insecuritate a forțelor de ordine și frica de a interveni calitativ decisiv. În încercarea de a contracara fenomenul în raport cu </w:t>
      </w:r>
      <w:r w:rsidR="00096CC5">
        <w:rPr>
          <w:rFonts w:ascii="Times New Roman" w:hAnsi="Times New Roman"/>
          <w:sz w:val="24"/>
          <w:szCs w:val="24"/>
          <w:lang w:val="ro-RO"/>
        </w:rPr>
        <w:t>P</w:t>
      </w:r>
      <w:r w:rsidRPr="000C6E07">
        <w:rPr>
          <w:rFonts w:ascii="Times New Roman" w:hAnsi="Times New Roman"/>
          <w:sz w:val="24"/>
          <w:szCs w:val="24"/>
          <w:lang w:val="ro-RO"/>
        </w:rPr>
        <w:t xml:space="preserve">oliția, </w:t>
      </w:r>
      <w:r w:rsidRPr="000C6E07">
        <w:rPr>
          <w:rFonts w:ascii="Times New Roman" w:hAnsi="Times New Roman"/>
          <w:sz w:val="24"/>
          <w:lang w:val="ro-RO"/>
        </w:rPr>
        <w:t>la nivelul IGP și INSP</w:t>
      </w:r>
      <w:r w:rsidRPr="000C6E07">
        <w:rPr>
          <w:rFonts w:ascii="Times New Roman" w:hAnsi="Times New Roman"/>
          <w:sz w:val="24"/>
          <w:szCs w:val="24"/>
          <w:lang w:val="ro-RO"/>
        </w:rPr>
        <w:t xml:space="preserve"> a fost făcut un </w:t>
      </w:r>
      <w:r w:rsidRPr="000C6E07">
        <w:rPr>
          <w:rFonts w:ascii="Times New Roman" w:hAnsi="Times New Roman"/>
          <w:sz w:val="24"/>
          <w:lang w:val="ro-RO"/>
        </w:rPr>
        <w:t xml:space="preserve">audit al proceselor de interacțiune cu populația, iar un mecanism de participare a societății civile a fost stabilit pentru evaluarea cazurilor de ultragiere sau maltratare a polițiștilor, în vederea combaterii acestor fenomene și consolidării respectului față de autoritatea legală. </w:t>
      </w:r>
      <w:r w:rsidRPr="000C6E07">
        <w:rPr>
          <w:rFonts w:ascii="Times New Roman" w:hAnsi="Times New Roman"/>
          <w:sz w:val="24"/>
          <w:szCs w:val="24"/>
          <w:lang w:val="ro-RO"/>
        </w:rPr>
        <w:t xml:space="preserve"> </w:t>
      </w:r>
    </w:p>
    <w:p w14:paraId="19163169" w14:textId="77777777" w:rsidR="000C6E07" w:rsidRPr="000C6E07" w:rsidRDefault="000C6E07" w:rsidP="000C6E07">
      <w:pPr>
        <w:spacing w:after="0"/>
        <w:jc w:val="center"/>
        <w:rPr>
          <w:color w:val="0070C0"/>
          <w:sz w:val="24"/>
          <w:szCs w:val="24"/>
          <w:lang w:val="ro-RO"/>
        </w:rPr>
      </w:pPr>
      <w:r w:rsidRPr="000C6E07">
        <w:rPr>
          <w:noProof/>
          <w:lang w:val="ro-RO"/>
        </w:rPr>
        <w:lastRenderedPageBreak/>
        <w:drawing>
          <wp:inline distT="0" distB="0" distL="0" distR="0" wp14:anchorId="5502CED1" wp14:editId="67C50FB3">
            <wp:extent cx="5940000" cy="1836000"/>
            <wp:effectExtent l="0" t="0" r="381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3723AFA" w14:textId="77777777" w:rsidR="000C6E07" w:rsidRPr="000C6E07" w:rsidRDefault="000C6E07" w:rsidP="000C6E07">
      <w:pPr>
        <w:pStyle w:val="Normal3"/>
        <w:spacing w:before="0" w:beforeAutospacing="0" w:after="0" w:line="240" w:lineRule="auto"/>
        <w:ind w:firstLine="540"/>
        <w:jc w:val="center"/>
        <w:rPr>
          <w:rFonts w:ascii="Times New Roman" w:hAnsi="Times New Roman"/>
          <w:bCs/>
          <w:i/>
          <w:sz w:val="24"/>
          <w:szCs w:val="24"/>
          <w:lang w:val="ro-RO"/>
        </w:rPr>
      </w:pPr>
      <w:r w:rsidRPr="000C6E07">
        <w:rPr>
          <w:rFonts w:ascii="Times New Roman" w:hAnsi="Times New Roman"/>
          <w:b/>
          <w:sz w:val="24"/>
          <w:szCs w:val="24"/>
          <w:lang w:val="ro-RO"/>
        </w:rPr>
        <w:t>Figura 15.</w:t>
      </w:r>
      <w:r w:rsidRPr="000C6E07">
        <w:rPr>
          <w:rFonts w:ascii="Times New Roman" w:hAnsi="Times New Roman"/>
          <w:bCs/>
          <w:i/>
          <w:kern w:val="24"/>
          <w:sz w:val="24"/>
          <w:szCs w:val="24"/>
          <w:lang w:val="ro-RO" w:eastAsia="ru-RU"/>
        </w:rPr>
        <w:t xml:space="preserve"> </w:t>
      </w:r>
      <w:r w:rsidRPr="000C6E07">
        <w:rPr>
          <w:rFonts w:ascii="Times New Roman" w:hAnsi="Times New Roman"/>
          <w:bCs/>
          <w:i/>
          <w:sz w:val="24"/>
          <w:szCs w:val="24"/>
          <w:lang w:val="ro-RO"/>
        </w:rPr>
        <w:t>Maltratări și ultragieri ale angajaților IGP și IGC</w:t>
      </w:r>
    </w:p>
    <w:p w14:paraId="504D3447" w14:textId="77777777" w:rsidR="000C6E07" w:rsidRPr="000C6E07" w:rsidRDefault="000C6E07" w:rsidP="000C6E07">
      <w:pPr>
        <w:pStyle w:val="Normal3"/>
        <w:spacing w:before="0" w:beforeAutospacing="0" w:after="120" w:line="240" w:lineRule="auto"/>
        <w:ind w:firstLine="539"/>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 Inspectoratul General de Carabinieri</w:t>
      </w:r>
    </w:p>
    <w:p w14:paraId="3CDB6F1F" w14:textId="77777777" w:rsidR="000C6E07" w:rsidRPr="000C6E07" w:rsidRDefault="000C6E07" w:rsidP="000C6E07">
      <w:pPr>
        <w:spacing w:after="0"/>
        <w:ind w:firstLine="540"/>
        <w:jc w:val="both"/>
        <w:rPr>
          <w:b/>
          <w:sz w:val="24"/>
          <w:szCs w:val="24"/>
          <w:lang w:val="ro-RO"/>
        </w:rPr>
      </w:pPr>
      <w:r w:rsidRPr="000C6E07">
        <w:rPr>
          <w:sz w:val="24"/>
          <w:szCs w:val="24"/>
          <w:lang w:val="ro-RO"/>
        </w:rPr>
        <w:t>În 2023, IGP a creat o Comisie privind evaluarea minuțioasă a cazurilor de ultragiere, maltratare a angajaților din cadrul subdiviziunilor IGP (dispoziția șefului IGP nr.116 din 09.03.2023), care a elaborat un Raport privind rezultatele analizei cazurilor de ultragiere și maltratare a polițiștilor pentru perioada 2018-2022, iar recomandările au fost incluse în Planul de activitate al IGP pentru anul 2024.</w:t>
      </w:r>
    </w:p>
    <w:p w14:paraId="4942BE3F" w14:textId="77777777" w:rsidR="000C6E07" w:rsidRPr="000C6E07" w:rsidRDefault="000C6E07" w:rsidP="000C6E07">
      <w:pPr>
        <w:spacing w:after="0"/>
        <w:ind w:firstLine="540"/>
        <w:jc w:val="both"/>
        <w:rPr>
          <w:sz w:val="24"/>
          <w:szCs w:val="24"/>
          <w:lang w:val="ro-RO"/>
        </w:rPr>
      </w:pPr>
      <w:r w:rsidRPr="000C6E07">
        <w:rPr>
          <w:b/>
          <w:sz w:val="24"/>
          <w:szCs w:val="24"/>
          <w:lang w:val="ro-RO"/>
        </w:rPr>
        <w:t>Personalul continuă să fie expus unui nivel ridicat de stres și epuizare, fără un sistem funcțional de sprijin psihologic.</w:t>
      </w:r>
      <w:r w:rsidRPr="000C6E07">
        <w:rPr>
          <w:sz w:val="24"/>
          <w:szCs w:val="24"/>
          <w:lang w:val="ro-RO"/>
        </w:rPr>
        <w:t xml:space="preserve"> Deși problema suprasolicitării și a impactului negativ asupra sănătății mintale a angajaților din subdiviziunile de ordine publică a fost evidențiată de mai mulți ani, nu s-au înregistrat progrese semnificative în remedierea situației. Serviciile oferite rămân inadecvate – majoritatea psihologilor nu dispun de competențele, metodele sau instrumentele necesare, iar consilierea psihologică, acolo unde există, este percepută ca fiind de slabă calitate. Lipsa unei culturi organizaționale care să susțină sănătatea mintală, alături de absența unor mecanisme reale de suport, contribuie la accentuarea problemelor, scăderea calității intervențiilor, </w:t>
      </w:r>
      <w:proofErr w:type="spellStart"/>
      <w:r w:rsidRPr="000C6E07">
        <w:rPr>
          <w:sz w:val="24"/>
          <w:szCs w:val="24"/>
          <w:lang w:val="ro-RO"/>
        </w:rPr>
        <w:t>demotivarea</w:t>
      </w:r>
      <w:proofErr w:type="spellEnd"/>
      <w:r w:rsidRPr="000C6E07">
        <w:rPr>
          <w:sz w:val="24"/>
          <w:szCs w:val="24"/>
          <w:lang w:val="ro-RO"/>
        </w:rPr>
        <w:t xml:space="preserve"> personalului și plecări continue din sistem – toate acestea afectând grav capacitatea serviciilor de ordine publică de a-și îndeplini eficient atribuțiile în comunitate.</w:t>
      </w:r>
    </w:p>
    <w:p w14:paraId="20894364" w14:textId="2084E3C7" w:rsidR="000C6E07" w:rsidRPr="000C6E07" w:rsidRDefault="000C6E07" w:rsidP="000C6E07">
      <w:pPr>
        <w:spacing w:after="0"/>
        <w:ind w:firstLine="540"/>
        <w:jc w:val="both"/>
        <w:rPr>
          <w:sz w:val="24"/>
          <w:szCs w:val="24"/>
          <w:lang w:val="ro-RO"/>
        </w:rPr>
      </w:pPr>
      <w:r w:rsidRPr="000C6E07">
        <w:rPr>
          <w:sz w:val="24"/>
          <w:szCs w:val="24"/>
          <w:lang w:val="ro-RO"/>
        </w:rPr>
        <w:t xml:space="preserve">Pe fundalul deficitului de personal, </w:t>
      </w:r>
      <w:r w:rsidRPr="000C6E07">
        <w:rPr>
          <w:b/>
          <w:sz w:val="24"/>
          <w:szCs w:val="24"/>
          <w:lang w:val="ro-RO"/>
        </w:rPr>
        <w:t>un alt punct slab nerezolvat rămâne planificarea forțelor în subdiviziunile de ordine publică</w:t>
      </w:r>
      <w:r w:rsidRPr="000C6E07">
        <w:rPr>
          <w:sz w:val="24"/>
          <w:szCs w:val="24"/>
          <w:lang w:val="ro-RO"/>
        </w:rPr>
        <w:t>. Lipsa unui sistem unic de dislocare și capacitățile analitice reduse limitează alocare</w:t>
      </w:r>
      <w:r w:rsidR="00096CC5">
        <w:rPr>
          <w:sz w:val="24"/>
          <w:szCs w:val="24"/>
          <w:lang w:val="ro-RO"/>
        </w:rPr>
        <w:t>a</w:t>
      </w:r>
      <w:r w:rsidRPr="000C6E07">
        <w:rPr>
          <w:sz w:val="24"/>
          <w:szCs w:val="24"/>
          <w:lang w:val="ro-RO"/>
        </w:rPr>
        <w:t xml:space="preserve"> eficientă a resurselor. Doar câteva unități dispun de instrumentele și competențele necesare pentru o analiză adecvată, iar managerii teritoriali nu au toate resursele necesare pentru a  îmbunătăți situația. În consecință, angajații operaționali sunt în continuare suprasolicitați, ceea ce afectează negativ eficiența și calitatea intervențiilor polițienești.</w:t>
      </w:r>
    </w:p>
    <w:p w14:paraId="4CEB1843" w14:textId="77777777" w:rsidR="000C6E07" w:rsidRPr="000C6E07" w:rsidRDefault="000C6E07" w:rsidP="000C6E07">
      <w:pPr>
        <w:spacing w:after="0"/>
        <w:ind w:firstLine="540"/>
        <w:jc w:val="both"/>
        <w:rPr>
          <w:sz w:val="24"/>
          <w:lang w:val="ro-RO"/>
        </w:rPr>
      </w:pPr>
      <w:r w:rsidRPr="000C6E07">
        <w:rPr>
          <w:b/>
          <w:sz w:val="24"/>
          <w:szCs w:val="24"/>
          <w:lang w:val="ro-RO"/>
        </w:rPr>
        <w:t xml:space="preserve">Extinderea conceptului de activitate polițienească bazată pe informații la nivelul subdiviziunilor teritoriale se produce cu dificultate, </w:t>
      </w:r>
      <w:r w:rsidRPr="000C6E07">
        <w:rPr>
          <w:sz w:val="24"/>
          <w:szCs w:val="24"/>
          <w:lang w:val="ro-RO"/>
        </w:rPr>
        <w:t xml:space="preserve">chiar dacă a fost aplicat cu succes timp de mai mulți ani în unitatea centrală de analiză a informațiilor a IGP. Implementarea lentă a conceptului este cauzată în principal de lipsa de interes și înțelegere din partea conducerii la nivel teritorial, pregătirii insuficiente a personalului, utilizării superficiale a informațiilor disponibile și limitărilor tehnice ale sistemelor informaționale, care oferă date fragmentare. În consecință, informația deținută este utilizată deficient, iar analiza este superficială. </w:t>
      </w:r>
      <w:r w:rsidRPr="000C6E07">
        <w:rPr>
          <w:b/>
          <w:sz w:val="24"/>
          <w:szCs w:val="24"/>
          <w:lang w:val="ro-RO"/>
        </w:rPr>
        <w:t>Pentru</w:t>
      </w:r>
      <w:r w:rsidRPr="000C6E07">
        <w:rPr>
          <w:b/>
          <w:sz w:val="24"/>
          <w:lang w:val="ro-RO"/>
        </w:rPr>
        <w:t xml:space="preserve"> consolidarea capacităților de analiză a informațiilor pentru activitatea operațională</w:t>
      </w:r>
      <w:r w:rsidRPr="000C6E07">
        <w:rPr>
          <w:sz w:val="24"/>
          <w:lang w:val="ro-RO"/>
        </w:rPr>
        <w:t>, î</w:t>
      </w:r>
      <w:r w:rsidRPr="000C6E07">
        <w:rPr>
          <w:sz w:val="24"/>
          <w:szCs w:val="24"/>
          <w:lang w:val="ro-RO"/>
        </w:rPr>
        <w:t>n perioada anterioară</w:t>
      </w:r>
      <w:r w:rsidRPr="000C6E07">
        <w:rPr>
          <w:sz w:val="24"/>
          <w:lang w:val="ro-RO"/>
        </w:rPr>
        <w:t xml:space="preserve"> au fost întreprinse măsuri pentru integrarea și dezvoltarea surselor de date pentru susținerea deciziilor bazate pe produse analitice corelate cu evoluțiile teritoriale. În </w:t>
      </w:r>
      <w:r w:rsidRPr="000C6E07">
        <w:rPr>
          <w:sz w:val="24"/>
          <w:szCs w:val="24"/>
          <w:lang w:val="ro-RO"/>
        </w:rPr>
        <w:t xml:space="preserve">cadrul IGP și IGC a fost descris procesul operațional aferent inițierii analizei informației, inclusiv a fluxului informațional pe segmentul analizei informației </w:t>
      </w:r>
      <w:r w:rsidRPr="000C6E07">
        <w:rPr>
          <w:sz w:val="24"/>
          <w:lang w:val="ro-RO"/>
        </w:rPr>
        <w:t>(Ordinul IGC nr. 51/2023)</w:t>
      </w:r>
      <w:r w:rsidRPr="000C6E07">
        <w:rPr>
          <w:sz w:val="24"/>
          <w:szCs w:val="24"/>
          <w:lang w:val="ro-RO"/>
        </w:rPr>
        <w:t>, fiind stabilite nomenclatoarele pentru necesitățile de dotare a serviciilor de analiză. A</w:t>
      </w:r>
      <w:r w:rsidRPr="000C6E07">
        <w:rPr>
          <w:sz w:val="24"/>
          <w:lang w:val="ro-RO"/>
        </w:rPr>
        <w:t xml:space="preserve">u fost aprobate POS privind utilizarea conceptului de activitate polițienească bazată pe informații Intelligence-Led </w:t>
      </w:r>
      <w:proofErr w:type="spellStart"/>
      <w:r w:rsidRPr="000C6E07">
        <w:rPr>
          <w:sz w:val="24"/>
          <w:lang w:val="ro-RO"/>
        </w:rPr>
        <w:t>Policing</w:t>
      </w:r>
      <w:proofErr w:type="spellEnd"/>
      <w:r w:rsidRPr="000C6E07">
        <w:rPr>
          <w:sz w:val="24"/>
          <w:lang w:val="ro-RO"/>
        </w:rPr>
        <w:t xml:space="preserve"> (Ordinul șefului IGP nr.227/2024) și a</w:t>
      </w:r>
      <w:r w:rsidRPr="000C6E07">
        <w:rPr>
          <w:sz w:val="24"/>
          <w:szCs w:val="24"/>
          <w:lang w:val="ro-RO"/>
        </w:rPr>
        <w:t>u fost inițiate activități de promovare a culturii analitice în cadrul serviciilor de ordine și securitate publică, prin desfășurarea instruirilor angajaților din serviciile de analiză a informațiilor. Totuși, dezvoltarea conceptului de activitate polițienească bazată pe informații la nivelul subdiviziunilor teritoriale IGP și IGC necesită în continuare multă atenție și resurse pentru funcționalitatea mecanismului.</w:t>
      </w:r>
    </w:p>
    <w:p w14:paraId="66CA899B" w14:textId="7AF25436" w:rsidR="007952A3" w:rsidRPr="007952A3" w:rsidRDefault="007952A3" w:rsidP="000C6E07">
      <w:pPr>
        <w:spacing w:after="0"/>
        <w:ind w:firstLine="540"/>
        <w:jc w:val="both"/>
        <w:rPr>
          <w:sz w:val="24"/>
          <w:szCs w:val="24"/>
          <w:lang w:val="ro-RO"/>
        </w:rPr>
      </w:pPr>
      <w:r w:rsidRPr="00B63119">
        <w:rPr>
          <w:sz w:val="24"/>
          <w:szCs w:val="24"/>
          <w:lang w:val="ro-RO"/>
        </w:rPr>
        <w:t xml:space="preserve">În lipsa unei abordări coerente și adaptate la realitățile din teren, </w:t>
      </w:r>
      <w:r w:rsidRPr="00B63119">
        <w:rPr>
          <w:b/>
          <w:bCs/>
          <w:sz w:val="24"/>
          <w:szCs w:val="24"/>
          <w:lang w:val="ro-RO"/>
        </w:rPr>
        <w:t>pregătirea profesională a angajaților structurilor de ordine publică continuă să influențeze negativ calitatea intervențiilor</w:t>
      </w:r>
      <w:r w:rsidRPr="00B63119">
        <w:rPr>
          <w:sz w:val="24"/>
          <w:szCs w:val="24"/>
          <w:lang w:val="ro-RO"/>
        </w:rPr>
        <w:t xml:space="preserve">. Sistemul de instruire, inclusiv în cadrul Academiei „Ștefan cel Mare” a MAI și al Centrului de pregătire al Carabinierilor, se confruntă cu dificultăți legate de actualizarea conținutului curricular, aplicarea metodelor moderne de predare și dezvoltarea unei infrastructuri de formare adecvate. În special, se constată lipsa unor </w:t>
      </w:r>
      <w:r w:rsidRPr="00B63119">
        <w:rPr>
          <w:sz w:val="24"/>
          <w:szCs w:val="24"/>
          <w:lang w:val="ro-RO"/>
        </w:rPr>
        <w:lastRenderedPageBreak/>
        <w:t>module relevante privind comunicarea eficientă, gestionarea situațiilor tensionate și colaborarea cu comunitatea, elemente esențiale pentru reacții profesioniste și prevenirea escaladării conflictelor. De asemenea, lipsa standardizării procesului de instruire între diferitele centre de formare generează diferențe de abordare și capacitate de reacție între subdiviziuni, afectând interoperabilitatea și coordonarea în situații operative complexe. În acest context, reformarea sistemului de pregătire, prin modernizarea instituțiilor de învățământ și formare profesională, consolidarea componentei practice și unificarea standardelor de instruire, reprezintă o condiție esențială pentru profesionalizarea durabilă a structurilor de ordine publică.</w:t>
      </w:r>
    </w:p>
    <w:p w14:paraId="362B5B24" w14:textId="2BDD553B" w:rsidR="000C6E07" w:rsidRPr="000C6E07" w:rsidRDefault="000C6E07" w:rsidP="000C6E07">
      <w:pPr>
        <w:spacing w:after="0"/>
        <w:ind w:firstLine="540"/>
        <w:jc w:val="both"/>
        <w:rPr>
          <w:sz w:val="24"/>
          <w:szCs w:val="24"/>
          <w:lang w:val="ro-RO"/>
        </w:rPr>
      </w:pPr>
      <w:r w:rsidRPr="000C6E07">
        <w:rPr>
          <w:b/>
          <w:sz w:val="24"/>
          <w:szCs w:val="24"/>
          <w:lang w:val="ro-RO"/>
        </w:rPr>
        <w:t xml:space="preserve">Majoritatea angajaților serviciilor de ordine și securitate publică sunt dotați insuficient și neuniform, ceea ce constituie un impediment major în asigurarea unui nivel ridicat de profesionalism. </w:t>
      </w:r>
      <w:r w:rsidRPr="000C6E07">
        <w:rPr>
          <w:sz w:val="24"/>
          <w:szCs w:val="24"/>
          <w:lang w:val="ro-RO"/>
        </w:rPr>
        <w:t xml:space="preserve">IGP a aprobat în 2024 norme de dotare individuală pentru angajați, dar dotarea practică nu corespunde deocamdată acestor norme. Lipsa dotărilor standardizate de echipare generează disfuncționalități și dificultăți operaționale. Mai există cazuri de utilizare a echipamentelor personale în activități de serviciu. Insuficiența mijloacelor de transport adecvate afectează capacitatea de intervenție </w:t>
      </w:r>
      <w:r w:rsidRPr="00B63119">
        <w:rPr>
          <w:sz w:val="24"/>
          <w:szCs w:val="24"/>
          <w:lang w:val="ro-RO"/>
        </w:rPr>
        <w:t>promptă și eficientă. Deficiențele în gestionarea dotărilor, inclusiv evidența manuală și alocarea</w:t>
      </w:r>
      <w:r w:rsidR="00C83CB9" w:rsidRPr="00B63119">
        <w:rPr>
          <w:sz w:val="24"/>
          <w:szCs w:val="24"/>
          <w:lang w:val="ro-RO"/>
        </w:rPr>
        <w:t xml:space="preserve"> disproporționată</w:t>
      </w:r>
      <w:r w:rsidR="00B63119" w:rsidRPr="00B63119">
        <w:rPr>
          <w:sz w:val="24"/>
          <w:szCs w:val="24"/>
          <w:lang w:val="ro-RO"/>
        </w:rPr>
        <w:t xml:space="preserve"> </w:t>
      </w:r>
      <w:r w:rsidRPr="00B63119">
        <w:rPr>
          <w:sz w:val="24"/>
          <w:szCs w:val="24"/>
          <w:lang w:val="ro-RO"/>
        </w:rPr>
        <w:t xml:space="preserve">a resurselor financiare, împreună cu </w:t>
      </w:r>
      <w:r w:rsidR="00C83CB9" w:rsidRPr="00B63119">
        <w:rPr>
          <w:sz w:val="24"/>
          <w:szCs w:val="24"/>
          <w:lang w:val="ro-RO"/>
        </w:rPr>
        <w:t xml:space="preserve">insuficiența </w:t>
      </w:r>
      <w:r w:rsidRPr="00B63119">
        <w:rPr>
          <w:sz w:val="24"/>
          <w:szCs w:val="24"/>
          <w:lang w:val="ro-RO"/>
        </w:rPr>
        <w:t>fondurilor</w:t>
      </w:r>
      <w:r w:rsidRPr="000C6E07">
        <w:rPr>
          <w:sz w:val="24"/>
          <w:szCs w:val="24"/>
          <w:lang w:val="ro-RO"/>
        </w:rPr>
        <w:t xml:space="preserve"> pentru mentenanță, subminează funcționalitatea echipamentelor și software-urilor esențiale. Abordarea acestor carențe este vitală pentru îmbunătățirea calității serviciilor și pentru restabilirea autorității și credibilității instituționale.</w:t>
      </w:r>
    </w:p>
    <w:p w14:paraId="38544D05" w14:textId="4411A9F9" w:rsidR="000C6E07" w:rsidRPr="000C6E07" w:rsidRDefault="000C6E07" w:rsidP="000C6E07">
      <w:pPr>
        <w:spacing w:after="0"/>
        <w:ind w:firstLine="540"/>
        <w:jc w:val="both"/>
        <w:rPr>
          <w:b/>
          <w:sz w:val="24"/>
          <w:szCs w:val="24"/>
          <w:lang w:val="ro-RO"/>
        </w:rPr>
      </w:pPr>
      <w:r w:rsidRPr="000C6E07">
        <w:rPr>
          <w:b/>
          <w:sz w:val="24"/>
          <w:lang w:val="ro-RO"/>
        </w:rPr>
        <w:t>În vederea îmbunătățirii infrastructurii,</w:t>
      </w:r>
      <w:r w:rsidRPr="000C6E07">
        <w:rPr>
          <w:sz w:val="24"/>
          <w:lang w:val="ro-RO"/>
        </w:rPr>
        <w:t xml:space="preserve"> a fost elaborată o evidență detaliată privind starea sediilor subdiviziunilor Poliției, inclusiv istoricul renovărilor realizate, în baza căreia este planificată elaborarea unui Plan de dezvoltare logistică pe termen mediu. În perioada 2022-2025 au fost finalizate lucrări de reparație și reconstrucție la </w:t>
      </w:r>
      <w:r w:rsidR="00096CC5">
        <w:rPr>
          <w:sz w:val="24"/>
          <w:lang w:val="ro-RO"/>
        </w:rPr>
        <w:t>un</w:t>
      </w:r>
      <w:r w:rsidRPr="000C6E07">
        <w:rPr>
          <w:sz w:val="24"/>
          <w:lang w:val="ro-RO"/>
        </w:rPr>
        <w:t xml:space="preserve"> singur sector de poliție. În rest au fost efectuate lucrări de reparație curentă și de extindere a rețelelor electrice și a infrastructurii de comunicații contribuind la îmbunătățirea condițiilor de activitate.  </w:t>
      </w:r>
    </w:p>
    <w:p w14:paraId="576A82CE" w14:textId="596EC223" w:rsidR="00C83CB9" w:rsidRPr="00C83CB9" w:rsidRDefault="00C83CB9" w:rsidP="000C6E07">
      <w:pPr>
        <w:spacing w:after="0"/>
        <w:ind w:firstLine="540"/>
        <w:jc w:val="both"/>
        <w:rPr>
          <w:sz w:val="24"/>
          <w:szCs w:val="24"/>
          <w:lang w:val="ro-RO"/>
        </w:rPr>
      </w:pPr>
      <w:r w:rsidRPr="00B63119">
        <w:rPr>
          <w:b/>
          <w:bCs/>
          <w:sz w:val="24"/>
          <w:szCs w:val="24"/>
          <w:lang w:val="ro-RO"/>
        </w:rPr>
        <w:t>Aplicarea unitară și standardizată a procedurilor operaționale</w:t>
      </w:r>
      <w:r w:rsidRPr="00B63119">
        <w:rPr>
          <w:sz w:val="24"/>
          <w:szCs w:val="24"/>
          <w:lang w:val="ro-RO"/>
        </w:rPr>
        <w:t>, indiferent de autoritatea responsabilă – fie Poliție, Carabinieri sau alte organe de aplicare a legii – este esențială pentru asigurarea unei reacții eficiente, coordonate și predictibile în situații operative, mai ales în cazul activităților comune sau complementare. Procedurile bine definite contribuie la sincronizarea acțiunilor și la creșterea interoperabilității între structuri, reducând riscul de confuzii, întârzieri sau reacții neuniforme în teren. Totodată, în procesul de reglementare a activității de reacționare operative, este necesară o abordare echilibrată care să evite procedura excesivă și generarea unui volum disproporționat de documente, dificil de actualizat și aplicat în practică. Un cadru procedural eficient trebuie să fie clar, flexibil și adaptat realităților din teren, susținând astfel profesionalizarea și coerența intervențiilor autorităților din domeniul ordinii publice.</w:t>
      </w:r>
    </w:p>
    <w:p w14:paraId="5B9442B2" w14:textId="19D99192" w:rsidR="000C6E07" w:rsidRPr="000C6E07" w:rsidRDefault="000C6E07" w:rsidP="000C6E07">
      <w:pPr>
        <w:pStyle w:val="71"/>
        <w:ind w:firstLine="540"/>
        <w:rPr>
          <w:sz w:val="24"/>
          <w:szCs w:val="24"/>
          <w:lang w:val="ro-RO"/>
        </w:rPr>
      </w:pPr>
      <w:r w:rsidRPr="000C6E07">
        <w:rPr>
          <w:sz w:val="24"/>
          <w:szCs w:val="24"/>
          <w:lang w:val="ro-RO"/>
        </w:rPr>
        <w:t xml:space="preserve">La nivel individual, angajații serviciilor de ordine publică deseori demonstrează </w:t>
      </w:r>
      <w:r w:rsidRPr="000C6E07">
        <w:rPr>
          <w:b/>
          <w:sz w:val="24"/>
          <w:szCs w:val="24"/>
          <w:lang w:val="ro-RO"/>
        </w:rPr>
        <w:t xml:space="preserve">lipsa abilităților de comunicare eficientă </w:t>
      </w:r>
      <w:r w:rsidR="00C83CB9">
        <w:rPr>
          <w:b/>
          <w:sz w:val="24"/>
          <w:szCs w:val="24"/>
          <w:lang w:val="ro-RO"/>
        </w:rPr>
        <w:t xml:space="preserve">cu </w:t>
      </w:r>
      <w:r w:rsidRPr="000C6E07">
        <w:rPr>
          <w:b/>
          <w:sz w:val="24"/>
          <w:szCs w:val="24"/>
          <w:lang w:val="ro-RO"/>
        </w:rPr>
        <w:t>populația</w:t>
      </w:r>
      <w:r w:rsidRPr="000C6E07">
        <w:rPr>
          <w:sz w:val="24"/>
          <w:szCs w:val="24"/>
          <w:lang w:val="ro-RO"/>
        </w:rPr>
        <w:t>, inclusiv cu victimele infracțiunilor pe durata examinării cazurilor. Și la nivel instituțional, subdiviziunile de ordine publică se confruntă cu o comunicare deficitară cu publicul, cauzată de capacități limitate în domeniul comunicării și de absența unor planuri coerente și sistematice în acest sens. Studiul UNDP privind Accesul la Justiție în Republica Moldova</w:t>
      </w:r>
      <w:r w:rsidRPr="000C6E07">
        <w:rPr>
          <w:rStyle w:val="aff3"/>
          <w:sz w:val="24"/>
          <w:szCs w:val="24"/>
          <w:lang w:val="ro-RO"/>
        </w:rPr>
        <w:footnoteReference w:id="9"/>
      </w:r>
      <w:r w:rsidRPr="000C6E07">
        <w:rPr>
          <w:sz w:val="24"/>
          <w:szCs w:val="24"/>
          <w:lang w:val="ro-RO"/>
        </w:rPr>
        <w:t xml:space="preserve">, a constatat referitor la dificultatea de interacțiune cu instituțiile publice, că numai 38,8% din acei care au interacționat cu poliția au afirmat că experiențele lor au fost ușoare sau fără stres. Mai mult, respondenții au apreciat </w:t>
      </w:r>
      <w:r w:rsidR="00096CC5">
        <w:rPr>
          <w:sz w:val="24"/>
          <w:szCs w:val="24"/>
          <w:lang w:val="ro-RO"/>
        </w:rPr>
        <w:t>P</w:t>
      </w:r>
      <w:r w:rsidRPr="000C6E07">
        <w:rPr>
          <w:sz w:val="24"/>
          <w:szCs w:val="24"/>
          <w:lang w:val="ro-RO"/>
        </w:rPr>
        <w:t xml:space="preserve">oliția în proporție de 35,1% ca fiind ineficientă și lentă. Au fost evidențiate și probleme legate de tratament preferențial: autorii studiului au remarcat faptul că </w:t>
      </w:r>
      <w:r w:rsidR="00096CC5">
        <w:rPr>
          <w:sz w:val="24"/>
          <w:szCs w:val="24"/>
          <w:lang w:val="ro-RO"/>
        </w:rPr>
        <w:t>P</w:t>
      </w:r>
      <w:r w:rsidRPr="000C6E07">
        <w:rPr>
          <w:sz w:val="24"/>
          <w:szCs w:val="24"/>
          <w:lang w:val="ro-RO"/>
        </w:rPr>
        <w:t xml:space="preserve">oliția i-a tratat pe cetățenii mai nevoiași cu mai puțin respect decât pe cei prosperi. Numai 25,1% dintre respondenții cei mai nevoiași cred că </w:t>
      </w:r>
      <w:r w:rsidR="00096CC5">
        <w:rPr>
          <w:sz w:val="24"/>
          <w:szCs w:val="24"/>
          <w:lang w:val="ro-RO"/>
        </w:rPr>
        <w:t>P</w:t>
      </w:r>
      <w:r w:rsidRPr="000C6E07">
        <w:rPr>
          <w:sz w:val="24"/>
          <w:szCs w:val="24"/>
          <w:lang w:val="ro-RO"/>
        </w:rPr>
        <w:t xml:space="preserve">oliția nu este viciată sau nu are prejudecăți, afirmație susținută de 62,5% dintre respondenții cei mai prosperi. Cauzele țin atât de competențele reduse în comunicare, cât și de insuficiența personalului și lipsa timpului, în condițiile suprasolicitării și implicării în activități improprii. </w:t>
      </w:r>
    </w:p>
    <w:p w14:paraId="48242C1B" w14:textId="77777777" w:rsidR="00311C39" w:rsidRPr="00B63119" w:rsidRDefault="00311C39" w:rsidP="00311C39">
      <w:pPr>
        <w:spacing w:after="0"/>
        <w:ind w:firstLine="540"/>
        <w:jc w:val="both"/>
        <w:rPr>
          <w:sz w:val="24"/>
          <w:lang w:val="ro-RO"/>
        </w:rPr>
      </w:pPr>
      <w:r w:rsidRPr="00B63119">
        <w:rPr>
          <w:sz w:val="24"/>
          <w:lang w:val="ro-RO"/>
        </w:rPr>
        <w:t xml:space="preserve">În ciuda eforturilor depuse în perioada 2022–2025, </w:t>
      </w:r>
      <w:r w:rsidRPr="00B63119">
        <w:rPr>
          <w:b/>
          <w:bCs/>
          <w:sz w:val="24"/>
          <w:lang w:val="ro-RO"/>
        </w:rPr>
        <w:t>numărul echipelor de patrulare și reacționare operativă aflate în prima linie se menține la aproximativ 51% din necesarul estimat</w:t>
      </w:r>
      <w:r w:rsidRPr="00B63119">
        <w:rPr>
          <w:sz w:val="24"/>
          <w:lang w:val="ro-RO"/>
        </w:rPr>
        <w:t>, conform nivelului de referință stabilit în anul 2022. Acest decalaj este determinat în principal de insuficiența resurselor umane și materiale necesare acoperirii fazei operaționale.</w:t>
      </w:r>
    </w:p>
    <w:p w14:paraId="2EBCF608" w14:textId="677425D0" w:rsidR="00311C39" w:rsidRPr="00B63119" w:rsidRDefault="00311C39" w:rsidP="00311C39">
      <w:pPr>
        <w:spacing w:after="0"/>
        <w:ind w:firstLine="540"/>
        <w:jc w:val="both"/>
        <w:rPr>
          <w:sz w:val="24"/>
          <w:lang w:val="ro-RO"/>
        </w:rPr>
      </w:pPr>
      <w:r w:rsidRPr="00B63119">
        <w:rPr>
          <w:sz w:val="24"/>
          <w:lang w:val="ro-RO"/>
        </w:rPr>
        <w:lastRenderedPageBreak/>
        <w:t xml:space="preserve">Pentru consolidarea capacității de reacție a Poliției, au fost întreprinse măsuri de suplimentare a echipelor operative și de dotare logistică, inclusiv prin achiziționarea a peste </w:t>
      </w:r>
      <w:r w:rsidRPr="00B63119">
        <w:rPr>
          <w:b/>
          <w:bCs/>
          <w:sz w:val="24"/>
          <w:lang w:val="ro-RO"/>
        </w:rPr>
        <w:t>240 de unități de transport</w:t>
      </w:r>
      <w:r w:rsidRPr="00B63119">
        <w:rPr>
          <w:sz w:val="24"/>
          <w:lang w:val="ro-RO"/>
        </w:rPr>
        <w:t xml:space="preserve">, dintre care un număr semnificativ sunt autospeciale inteligente de tip </w:t>
      </w:r>
      <w:r w:rsidRPr="00B63119">
        <w:rPr>
          <w:b/>
          <w:bCs/>
          <w:sz w:val="24"/>
          <w:lang w:val="ro-RO"/>
        </w:rPr>
        <w:t>PICAR (</w:t>
      </w:r>
      <w:proofErr w:type="spellStart"/>
      <w:r w:rsidRPr="00B63119">
        <w:rPr>
          <w:b/>
          <w:bCs/>
          <w:sz w:val="24"/>
          <w:lang w:val="ro-RO"/>
        </w:rPr>
        <w:t>Police</w:t>
      </w:r>
      <w:proofErr w:type="spellEnd"/>
      <w:r w:rsidRPr="00B63119">
        <w:rPr>
          <w:b/>
          <w:bCs/>
          <w:sz w:val="24"/>
          <w:lang w:val="ro-RO"/>
        </w:rPr>
        <w:t xml:space="preserve"> </w:t>
      </w:r>
      <w:proofErr w:type="spellStart"/>
      <w:r w:rsidRPr="00B63119">
        <w:rPr>
          <w:b/>
          <w:bCs/>
          <w:sz w:val="24"/>
          <w:lang w:val="ro-RO"/>
        </w:rPr>
        <w:t>Integence</w:t>
      </w:r>
      <w:proofErr w:type="spellEnd"/>
      <w:r w:rsidRPr="00B63119">
        <w:rPr>
          <w:b/>
          <w:bCs/>
          <w:sz w:val="24"/>
          <w:lang w:val="ro-RO"/>
        </w:rPr>
        <w:t xml:space="preserve"> Car)</w:t>
      </w:r>
      <w:r w:rsidRPr="00B63119">
        <w:rPr>
          <w:sz w:val="24"/>
          <w:lang w:val="ro-RO"/>
        </w:rPr>
        <w:t xml:space="preserve">.  De asemenea, au fost distribuite </w:t>
      </w:r>
      <w:r w:rsidRPr="00B63119">
        <w:rPr>
          <w:b/>
          <w:bCs/>
          <w:sz w:val="24"/>
          <w:lang w:val="ro-RO"/>
        </w:rPr>
        <w:t>360 de camere de corp</w:t>
      </w:r>
      <w:r w:rsidRPr="00B63119">
        <w:rPr>
          <w:sz w:val="24"/>
          <w:lang w:val="ro-RO"/>
        </w:rPr>
        <w:t xml:space="preserve">, </w:t>
      </w:r>
      <w:r w:rsidRPr="00B63119">
        <w:rPr>
          <w:b/>
          <w:bCs/>
          <w:sz w:val="24"/>
          <w:lang w:val="ro-RO"/>
        </w:rPr>
        <w:t>587 de unități de tehnică de calcul</w:t>
      </w:r>
      <w:r w:rsidRPr="00B63119">
        <w:rPr>
          <w:sz w:val="24"/>
          <w:lang w:val="ro-RO"/>
        </w:rPr>
        <w:t xml:space="preserve"> și alte echipamente specializate destinate investigațiilor, intervenției rapide și cartografierii accidentelor.</w:t>
      </w:r>
    </w:p>
    <w:p w14:paraId="7C2DBE5D" w14:textId="6DDB80D0" w:rsidR="00311C39" w:rsidRPr="000C6E07" w:rsidRDefault="00311C39" w:rsidP="00311C39">
      <w:pPr>
        <w:spacing w:after="0"/>
        <w:ind w:firstLine="540"/>
        <w:jc w:val="both"/>
        <w:rPr>
          <w:sz w:val="24"/>
          <w:lang w:val="ro-RO"/>
        </w:rPr>
      </w:pPr>
      <w:r w:rsidRPr="00B63119">
        <w:rPr>
          <w:sz w:val="24"/>
          <w:lang w:val="ro-RO"/>
        </w:rPr>
        <w:t xml:space="preserve">Sistemul </w:t>
      </w:r>
      <w:r w:rsidRPr="00B63119">
        <w:rPr>
          <w:b/>
          <w:bCs/>
          <w:sz w:val="24"/>
          <w:lang w:val="ro-RO"/>
        </w:rPr>
        <w:t>PICAR</w:t>
      </w:r>
      <w:r w:rsidRPr="00B63119">
        <w:rPr>
          <w:sz w:val="24"/>
          <w:lang w:val="ro-RO"/>
        </w:rPr>
        <w:t xml:space="preserve"> se află într-o etapă avansată de testare </w:t>
      </w:r>
      <w:proofErr w:type="spellStart"/>
      <w:r w:rsidRPr="00B63119">
        <w:rPr>
          <w:sz w:val="24"/>
          <w:lang w:val="ro-RO"/>
        </w:rPr>
        <w:t>tehnico</w:t>
      </w:r>
      <w:proofErr w:type="spellEnd"/>
      <w:r w:rsidRPr="00B63119">
        <w:rPr>
          <w:sz w:val="24"/>
          <w:lang w:val="ro-RO"/>
        </w:rPr>
        <w:t xml:space="preserve">-operațională, cu accent pe validarea funcționalităților, integrarea cu infrastructura IT existentă și verificarea compatibilității operaționale. Finalizarea acestor testări va permite operaționalizarea completă a celor </w:t>
      </w:r>
      <w:r w:rsidRPr="00B63119">
        <w:rPr>
          <w:b/>
          <w:bCs/>
          <w:sz w:val="24"/>
          <w:lang w:val="ro-RO"/>
        </w:rPr>
        <w:t>31 de unități dotate</w:t>
      </w:r>
      <w:r w:rsidRPr="00B63119">
        <w:rPr>
          <w:sz w:val="24"/>
          <w:lang w:val="ro-RO"/>
        </w:rPr>
        <w:t>, contribuind la modernizarea serviciilor de ordine publică și la creșterea eficienței intervențiilor în teren.</w:t>
      </w:r>
    </w:p>
    <w:p w14:paraId="6227C08F" w14:textId="77777777" w:rsidR="00311C39" w:rsidRPr="00B63119" w:rsidRDefault="00311C39" w:rsidP="00311C39">
      <w:pPr>
        <w:spacing w:after="0"/>
        <w:ind w:firstLine="540"/>
        <w:jc w:val="both"/>
        <w:rPr>
          <w:sz w:val="24"/>
          <w:lang w:val="ro-RO"/>
        </w:rPr>
      </w:pPr>
      <w:r w:rsidRPr="00B63119">
        <w:rPr>
          <w:sz w:val="24"/>
          <w:lang w:val="ro-RO"/>
        </w:rPr>
        <w:t xml:space="preserve">Organizarea actuală a Inspectoratului General al Poliției (IGP) și distribuția competențelor interne prezintă limitări în capacitatea de reacție la provocările din domeniul ordinii publice și în planificarea eficientă a resurselor umane. </w:t>
      </w:r>
      <w:r w:rsidRPr="00B63119">
        <w:rPr>
          <w:b/>
          <w:bCs/>
          <w:sz w:val="24"/>
          <w:lang w:val="ro-RO"/>
        </w:rPr>
        <w:t>Nivelul operațional</w:t>
      </w:r>
      <w:r w:rsidRPr="00B63119">
        <w:rPr>
          <w:sz w:val="24"/>
          <w:lang w:val="ro-RO"/>
        </w:rPr>
        <w:t>, cel mai apropiat de cetățean, este subdimensionat, ceea ce conduce la o prezență redusă în comunități și afectează capacitatea de a răspunde prompt și vizibil la problemele locale. În absența unei infrastructuri teritoriale adecvate, aceste carențe reduc eficiența intervențiilor și influențează negativ percepția publicului asupra serviciilor de ordine publică.</w:t>
      </w:r>
    </w:p>
    <w:p w14:paraId="2A131161" w14:textId="77777777" w:rsidR="00311C39" w:rsidRPr="00B63119" w:rsidRDefault="00311C39" w:rsidP="00311C39">
      <w:pPr>
        <w:spacing w:after="0"/>
        <w:ind w:firstLine="540"/>
        <w:jc w:val="both"/>
        <w:rPr>
          <w:sz w:val="24"/>
          <w:lang w:val="ro-RO"/>
        </w:rPr>
      </w:pPr>
      <w:r w:rsidRPr="00B63119">
        <w:rPr>
          <w:sz w:val="24"/>
          <w:lang w:val="ro-RO"/>
        </w:rPr>
        <w:t xml:space="preserve">În vederea soluționării acestor deficiențe, Ministerul Afacerilor Interne a elaborat un </w:t>
      </w:r>
      <w:r w:rsidRPr="00B63119">
        <w:rPr>
          <w:b/>
          <w:bCs/>
          <w:sz w:val="24"/>
          <w:lang w:val="ro-RO"/>
        </w:rPr>
        <w:t>model de regionalizare a Poliției</w:t>
      </w:r>
      <w:r w:rsidRPr="00B63119">
        <w:rPr>
          <w:sz w:val="24"/>
          <w:lang w:val="ro-RO"/>
        </w:rPr>
        <w:t xml:space="preserve">, care presupune reorganizarea structurală în </w:t>
      </w:r>
      <w:r w:rsidRPr="00B63119">
        <w:rPr>
          <w:b/>
          <w:bCs/>
          <w:sz w:val="24"/>
          <w:lang w:val="ro-RO"/>
        </w:rPr>
        <w:t>trei direcții regionale</w:t>
      </w:r>
      <w:r w:rsidRPr="00B63119">
        <w:rPr>
          <w:sz w:val="24"/>
          <w:lang w:val="ro-RO"/>
        </w:rPr>
        <w:t xml:space="preserve"> (Nord, Centru, Sud) și </w:t>
      </w:r>
      <w:r w:rsidRPr="00B63119">
        <w:rPr>
          <w:b/>
          <w:bCs/>
          <w:sz w:val="24"/>
          <w:lang w:val="ro-RO"/>
        </w:rPr>
        <w:t>două structuri teritoriale</w:t>
      </w:r>
      <w:r w:rsidRPr="00B63119">
        <w:rPr>
          <w:sz w:val="24"/>
          <w:lang w:val="ro-RO"/>
        </w:rPr>
        <w:t xml:space="preserve"> (municipiul Chișinău și UTA Găgăuzia). Reforma urmărește întărirea nivelului operațional prin </w:t>
      </w:r>
      <w:r w:rsidRPr="00B63119">
        <w:rPr>
          <w:b/>
          <w:bCs/>
          <w:sz w:val="24"/>
          <w:lang w:val="ro-RO"/>
        </w:rPr>
        <w:t>realocarea resurselor către funcțiile de teren</w:t>
      </w:r>
      <w:r w:rsidRPr="00B63119">
        <w:rPr>
          <w:sz w:val="24"/>
          <w:lang w:val="ro-RO"/>
        </w:rPr>
        <w:t xml:space="preserve">, cu accent pe contactul direct cu cetățeanul, activitățile de patrulare și intervenția operativă. Se estimează o </w:t>
      </w:r>
      <w:r w:rsidRPr="00B63119">
        <w:rPr>
          <w:b/>
          <w:bCs/>
          <w:sz w:val="24"/>
          <w:lang w:val="ro-RO"/>
        </w:rPr>
        <w:t>reducere cu aproximativ 8% a funcțiilor de birou</w:t>
      </w:r>
      <w:r w:rsidRPr="00B63119">
        <w:rPr>
          <w:sz w:val="24"/>
          <w:lang w:val="ro-RO"/>
        </w:rPr>
        <w:t xml:space="preserve">, resursele eliberate urmând a fi utilizate pentru </w:t>
      </w:r>
      <w:r w:rsidRPr="00B63119">
        <w:rPr>
          <w:b/>
          <w:bCs/>
          <w:sz w:val="24"/>
          <w:lang w:val="ro-RO"/>
        </w:rPr>
        <w:t>motivarea adecvată a personalului, îmbunătățirea dotărilor și consolidarea infrastructurii</w:t>
      </w:r>
      <w:r w:rsidRPr="00B63119">
        <w:rPr>
          <w:sz w:val="24"/>
          <w:lang w:val="ro-RO"/>
        </w:rPr>
        <w:t>.</w:t>
      </w:r>
    </w:p>
    <w:p w14:paraId="388E9180" w14:textId="77777777" w:rsidR="00311C39" w:rsidRPr="00B63119" w:rsidRDefault="00311C39" w:rsidP="00311C39">
      <w:pPr>
        <w:spacing w:after="0"/>
        <w:ind w:firstLine="540"/>
        <w:jc w:val="both"/>
        <w:rPr>
          <w:sz w:val="24"/>
          <w:lang w:val="ro-RO"/>
        </w:rPr>
      </w:pPr>
      <w:r w:rsidRPr="00B63119">
        <w:rPr>
          <w:sz w:val="24"/>
          <w:lang w:val="ro-RO"/>
        </w:rPr>
        <w:t xml:space="preserve">Această transformare reflectă tranziția către un </w:t>
      </w:r>
      <w:r w:rsidRPr="00B63119">
        <w:rPr>
          <w:b/>
          <w:bCs/>
          <w:sz w:val="24"/>
          <w:lang w:val="ro-RO"/>
        </w:rPr>
        <w:t xml:space="preserve">model polițienesc </w:t>
      </w:r>
      <w:proofErr w:type="spellStart"/>
      <w:r w:rsidRPr="00B63119">
        <w:rPr>
          <w:b/>
          <w:bCs/>
          <w:sz w:val="24"/>
          <w:lang w:val="ro-RO"/>
        </w:rPr>
        <w:t>proactiv</w:t>
      </w:r>
      <w:proofErr w:type="spellEnd"/>
      <w:r w:rsidRPr="00B63119">
        <w:rPr>
          <w:b/>
          <w:bCs/>
          <w:sz w:val="24"/>
          <w:lang w:val="ro-RO"/>
        </w:rPr>
        <w:t>, vizibil și adaptat la nevoile reale ale comunităților</w:t>
      </w:r>
      <w:r w:rsidRPr="00B63119">
        <w:rPr>
          <w:sz w:val="24"/>
          <w:lang w:val="ro-RO"/>
        </w:rPr>
        <w:t xml:space="preserve">, precum și la specificul fiecărei regiuni. În paralel, este esențială </w:t>
      </w:r>
      <w:r w:rsidRPr="00B63119">
        <w:rPr>
          <w:b/>
          <w:bCs/>
          <w:sz w:val="24"/>
          <w:lang w:val="ro-RO"/>
        </w:rPr>
        <w:t>coordonarea funcțională dintre IGP și IGC</w:t>
      </w:r>
      <w:r w:rsidRPr="00B63119">
        <w:rPr>
          <w:sz w:val="24"/>
          <w:lang w:val="ro-RO"/>
        </w:rPr>
        <w:t>, prin delimitarea clară a atribuțiilor în materie de asigurare, menținere și restabilire a ordinii publice, în scopul evitării suprapunerilor și consolidării unui răspuns comun, coordonat și eficient în situații de urgență. Implementarea acestui model implică o revizuire amplă a conceptelor instituționale, a planurilor operaționale și a procedurilor aferente domeniului ordinii și securității publice.</w:t>
      </w:r>
    </w:p>
    <w:p w14:paraId="3E2E5ACC" w14:textId="282B26F7" w:rsidR="00311C39" w:rsidRPr="000C6E07" w:rsidRDefault="00311C39" w:rsidP="00311C39">
      <w:pPr>
        <w:spacing w:after="0"/>
        <w:ind w:firstLine="540"/>
        <w:jc w:val="both"/>
        <w:rPr>
          <w:sz w:val="24"/>
          <w:lang w:val="ro-RO"/>
        </w:rPr>
      </w:pPr>
      <w:r w:rsidRPr="00B63119">
        <w:rPr>
          <w:sz w:val="24"/>
          <w:lang w:val="ro-RO"/>
        </w:rPr>
        <w:t>Mai mult ca atât, reformele în cele mai dese cazuri afectează considerabil resursele umane și implicit memoria instituțională fiind  însoțite de fluctuații de personal, context în care o strategie corespunzătoare care va susține această măsuri, va trebui dezvoltată pe aspecte de motivare și retenție a personalului.</w:t>
      </w:r>
    </w:p>
    <w:p w14:paraId="288F88B0" w14:textId="091AA690" w:rsidR="000C6E07" w:rsidRPr="000C6E07" w:rsidRDefault="000C6E07" w:rsidP="000C6E07">
      <w:pPr>
        <w:spacing w:after="0"/>
        <w:ind w:firstLine="540"/>
        <w:jc w:val="both"/>
        <w:rPr>
          <w:sz w:val="24"/>
          <w:lang w:val="ro-RO"/>
        </w:rPr>
      </w:pPr>
      <w:r w:rsidRPr="000C6E07">
        <w:rPr>
          <w:sz w:val="24"/>
          <w:lang w:val="ro-RO"/>
        </w:rPr>
        <w:t>Oficiul Avocatului Poporului a atras atenția asupra necesității analizării felului în care reorganizarea Poliției va afecta accesul la servicii polițienești (în special pentru grupurile vulnerabile), impactul asupra regiunii de est și alinierea la strategiile naționale privind drepturile omului, precum Strategia națională de dezvoltare „Moldova Europeană 2030” și Programul Național pentru Asigurarea Respectării Drepturilor Omului. În lipsa unei integrări adecvate a acestor politici, există riscul ca reforma să creeze inconsecvențe legislative sau să conducă la măsuri care nu sunt aliniate cu angajamentele internaționale asumate de Republica Moldova.</w:t>
      </w:r>
    </w:p>
    <w:p w14:paraId="257B927E" w14:textId="3B46E52C" w:rsidR="000C6E07" w:rsidRPr="000C6E07" w:rsidRDefault="000C6E07" w:rsidP="000C6E07">
      <w:pPr>
        <w:spacing w:after="0"/>
        <w:ind w:firstLine="540"/>
        <w:jc w:val="both"/>
        <w:rPr>
          <w:sz w:val="24"/>
          <w:szCs w:val="24"/>
          <w:lang w:val="ro-RO" w:eastAsia="ro-RO"/>
        </w:rPr>
      </w:pPr>
      <w:r w:rsidRPr="000C6E07">
        <w:rPr>
          <w:b/>
          <w:sz w:val="24"/>
          <w:lang w:val="ro-RO"/>
        </w:rPr>
        <w:t>Serviciul Național Unic pentru Apelurile de Urgență 112 (SNUAU), un pilon esențial pentru menținerea ordinii și siguranței publice, nu este dezvoltat uniform la nivel național</w:t>
      </w:r>
      <w:r w:rsidRPr="000C6E07">
        <w:rPr>
          <w:sz w:val="24"/>
          <w:lang w:val="ro-RO"/>
        </w:rPr>
        <w:t>, ceea ce generează inegalități în accesul și eficiența intervențiilor în diferite regiuni</w:t>
      </w:r>
      <w:r w:rsidRPr="000C6E07">
        <w:rPr>
          <w:sz w:val="24"/>
          <w:szCs w:val="24"/>
          <w:lang w:val="ro-RO" w:eastAsia="ro-RO"/>
        </w:rPr>
        <w:t xml:space="preserve">. Între 2020 și 2024, timpul mediu de reacție la apeluri la nivel național a crescut de la 26 la 32 de minute, semnalând o presiune mai mare asupra resurselor polițienești. Această tendință poate reflecta atât o creștere a solicitărilor din cauza intensificării incidentelor sau a conștientizării publicului, cât și deficiențe legate de </w:t>
      </w:r>
      <w:r w:rsidRPr="000C6E07">
        <w:rPr>
          <w:b/>
          <w:sz w:val="24"/>
          <w:szCs w:val="24"/>
          <w:lang w:val="ro-RO" w:eastAsia="ro-RO"/>
        </w:rPr>
        <w:t>numărul insuficient de personal al echipelor de patrulare și reacționare sau de organizarea intervențiilor</w:t>
      </w:r>
      <w:r w:rsidRPr="000C6E07">
        <w:rPr>
          <w:sz w:val="24"/>
          <w:szCs w:val="24"/>
          <w:lang w:val="ro-RO" w:eastAsia="ro-RO"/>
        </w:rPr>
        <w:t xml:space="preserve">. Echipele de patrulare și reacționare operativă </w:t>
      </w:r>
      <w:r w:rsidRPr="000C6E07">
        <w:rPr>
          <w:b/>
          <w:bCs/>
          <w:sz w:val="24"/>
          <w:szCs w:val="24"/>
          <w:lang w:val="ro-RO" w:eastAsia="ro-RO"/>
        </w:rPr>
        <w:t>sunt dotate necorespunzător</w:t>
      </w:r>
      <w:r w:rsidRPr="000C6E07">
        <w:rPr>
          <w:sz w:val="24"/>
          <w:szCs w:val="24"/>
          <w:lang w:val="ro-RO" w:eastAsia="ro-RO"/>
        </w:rPr>
        <w:t xml:space="preserve"> pentru îndeplinirea atribuțiilor.</w:t>
      </w:r>
      <w:r w:rsidRPr="000C6E07">
        <w:rPr>
          <w:color w:val="0070C0"/>
          <w:sz w:val="24"/>
          <w:szCs w:val="24"/>
          <w:lang w:val="ro-RO" w:eastAsia="ro-RO"/>
        </w:rPr>
        <w:t xml:space="preserve"> </w:t>
      </w:r>
      <w:r w:rsidRPr="000C6E07">
        <w:rPr>
          <w:b/>
          <w:sz w:val="24"/>
          <w:szCs w:val="24"/>
          <w:lang w:val="ro-RO" w:eastAsia="ro-RO"/>
        </w:rPr>
        <w:t>Formatul de patrulare actual ar trebui re</w:t>
      </w:r>
      <w:r w:rsidRPr="00096CC5">
        <w:rPr>
          <w:b/>
          <w:sz w:val="24"/>
          <w:szCs w:val="24"/>
          <w:lang w:val="ro-RO" w:eastAsia="ro-RO"/>
        </w:rPr>
        <w:t xml:space="preserve">vizuit </w:t>
      </w:r>
      <w:r w:rsidRPr="000C6E07">
        <w:rPr>
          <w:sz w:val="24"/>
          <w:szCs w:val="24"/>
          <w:lang w:val="ro-RO" w:eastAsia="ro-RO"/>
        </w:rPr>
        <w:t xml:space="preserve">prin prisma procesului de regionalizare și noul concept de divizare a responsabilităților dintre poliție și carabinieri. Va continua implementarea principiului intervenției celei mai apropiate patrule, prin dislocarea forțelor fundamentată pe analiza informațiilor și prin sporirea capacităților necesare pentru serviciile de patrulare din cadrul structurilor teritoriale. </w:t>
      </w:r>
    </w:p>
    <w:p w14:paraId="10AFBB5A" w14:textId="77777777" w:rsidR="000C6E07" w:rsidRPr="000C6E07" w:rsidRDefault="000C6E07" w:rsidP="000C6E07">
      <w:pPr>
        <w:spacing w:after="0"/>
        <w:ind w:firstLine="540"/>
        <w:jc w:val="both"/>
        <w:rPr>
          <w:sz w:val="24"/>
          <w:szCs w:val="24"/>
          <w:lang w:val="ro-RO" w:eastAsia="ro-RO"/>
        </w:rPr>
      </w:pPr>
      <w:r w:rsidRPr="000C6E07">
        <w:rPr>
          <w:sz w:val="24"/>
          <w:szCs w:val="24"/>
          <w:lang w:val="ro-RO" w:eastAsia="ro-RO"/>
        </w:rPr>
        <w:t xml:space="preserve">Ponderea apelurilor de urgență în municipiul Chișinău a crescut semnificativ de la 45% la 52%, iar timpul mediu de reacție variază între 21 și 31 de minute. </w:t>
      </w:r>
      <w:r w:rsidRPr="000C6E07">
        <w:rPr>
          <w:sz w:val="24"/>
          <w:szCs w:val="24"/>
          <w:lang w:val="ro-RO"/>
        </w:rPr>
        <w:t xml:space="preserve">Numărul incidentelor raportate la SNUAU 112 privind parcările </w:t>
      </w:r>
      <w:r w:rsidRPr="000C6E07">
        <w:rPr>
          <w:sz w:val="24"/>
          <w:szCs w:val="24"/>
          <w:lang w:val="ro-RO" w:eastAsia="ro-RO"/>
        </w:rPr>
        <w:t xml:space="preserve">neregulamentare a crescut, corelându-se cu o majorare de 16,7% a contravențiilor în acest </w:t>
      </w:r>
      <w:r w:rsidRPr="000C6E07">
        <w:rPr>
          <w:sz w:val="24"/>
          <w:szCs w:val="24"/>
          <w:lang w:val="ro-RO" w:eastAsia="ro-RO"/>
        </w:rPr>
        <w:lastRenderedPageBreak/>
        <w:t>domeniu în 2024. În paralel, apelurile legate de accidente rutiere s-au intensificat, în linie cu o creștere semnificativă de 24,1% a contravențiilor pentru încălcări ale regulilor de circulație, ceea ce indică o tendință generală de deteriorare a comportamentului rutier. Această evoluție reflectă o concentrare tot mai mare a incidentelor și problemelor de ordine publică în capitală, pe fondul urbanizării accelerate și al unei conștientizări sporite privind serviciile de urgență. Totodată, capacitatea de reacție a subdiviziunilor din Chișinău este superioară mediei naționale datorită unei infrastructuri mai dezvoltate, unei subdiviziuni specializate în cadrul Direcției municipale și unei comunicări mai eficiente între dispecerat și echipele de intervenție. Tendința relevă necesitatea unei alocări mai eficiente a resurselor în zonele urbane dens populate.</w:t>
      </w:r>
      <w:r w:rsidRPr="000C6E07">
        <w:rPr>
          <w:rStyle w:val="aff3"/>
          <w:sz w:val="24"/>
          <w:szCs w:val="24"/>
          <w:lang w:val="ro-RO" w:eastAsia="ro-RO"/>
        </w:rPr>
        <w:footnoteReference w:id="10"/>
      </w:r>
    </w:p>
    <w:p w14:paraId="40B31B6D" w14:textId="77777777" w:rsidR="000C6E07" w:rsidRPr="000C6E07" w:rsidRDefault="000C6E07" w:rsidP="000C6E07">
      <w:pPr>
        <w:spacing w:after="0"/>
        <w:ind w:firstLine="540"/>
        <w:jc w:val="both"/>
        <w:rPr>
          <w:lang w:val="ro-RO"/>
        </w:rPr>
      </w:pPr>
      <w:r w:rsidRPr="000C6E07">
        <w:rPr>
          <w:sz w:val="24"/>
          <w:lang w:val="ro-RO"/>
        </w:rPr>
        <w:t xml:space="preserve">La nivel național, </w:t>
      </w:r>
      <w:r w:rsidRPr="000C6E07">
        <w:rPr>
          <w:b/>
          <w:sz w:val="24"/>
          <w:lang w:val="ro-RO"/>
        </w:rPr>
        <w:t>disparitățile semnificative în timpii de reacție la apelurile de urgență 112 reflectă probleme structurale în capacitatea de intervenție a Poliției</w:t>
      </w:r>
      <w:r w:rsidRPr="000C6E07">
        <w:rPr>
          <w:sz w:val="24"/>
          <w:lang w:val="ro-RO"/>
        </w:rPr>
        <w:t xml:space="preserve">. Unele subdiviziuni teritoriale înregistrează timpi de reacție cu mult peste media națională (35–48 minute), din cauza resurselor insuficiente, accesibilității reduse sau a unei organizări ineficiente. În același timp, </w:t>
      </w:r>
      <w:r w:rsidRPr="000C6E07">
        <w:rPr>
          <w:b/>
          <w:sz w:val="24"/>
          <w:lang w:val="ro-RO"/>
        </w:rPr>
        <w:t>serviciul de patrulare și reacționare se confruntă cu un deficit important de personal – 14% din funcții erau vacante la sfârșitul anului 2024</w:t>
      </w:r>
      <w:r w:rsidRPr="000C6E07">
        <w:rPr>
          <w:sz w:val="24"/>
          <w:lang w:val="ro-RO"/>
        </w:rPr>
        <w:t xml:space="preserve"> – și cu o fluctuație ridicată a angajaților, ceea ce reduce capacitatea de reacție. Se remarcă însă și cazuri pozitive: în anumite raioane cu doar 1–2 echipe de patrulare (EPRO), timpul mediu de reacție a fost sub media națională (20–29 minute), ceea ce sugerează că eficiența nu depinde doar de resursele numerice, ci și de modul în care acestea sunt gestionate în funcție de specificul teritorial. Totodată, a fost semnalat faptul că în unele raioane, pe parcursul zilei, la apeluri intervin ofițerii de sector, în condițiile în care nu există un număr suficient de echipe EPRO, acestea fiind concentrate preponderent pe turele de noapte.</w:t>
      </w:r>
      <w:r w:rsidRPr="000C6E07">
        <w:rPr>
          <w:rStyle w:val="aff3"/>
          <w:sz w:val="24"/>
          <w:lang w:val="ro-RO"/>
        </w:rPr>
        <w:t xml:space="preserve"> </w:t>
      </w:r>
      <w:r w:rsidRPr="000C6E07">
        <w:rPr>
          <w:rStyle w:val="aff3"/>
          <w:sz w:val="24"/>
          <w:lang w:val="ro-RO"/>
        </w:rPr>
        <w:footnoteReference w:id="11"/>
      </w:r>
    </w:p>
    <w:p w14:paraId="322FF320" w14:textId="29D2AE84" w:rsidR="000C6E07" w:rsidRDefault="000C6E07" w:rsidP="000C6E07">
      <w:pPr>
        <w:spacing w:after="0"/>
        <w:ind w:firstLine="540"/>
        <w:jc w:val="both"/>
        <w:rPr>
          <w:sz w:val="24"/>
          <w:lang w:val="ro-RO"/>
        </w:rPr>
      </w:pPr>
      <w:r w:rsidRPr="000C6E07">
        <w:rPr>
          <w:b/>
          <w:sz w:val="24"/>
          <w:lang w:val="ro-RO"/>
        </w:rPr>
        <w:t xml:space="preserve">Dispeceratele se confruntă cu dificultăți </w:t>
      </w:r>
      <w:r w:rsidRPr="000C6E07">
        <w:rPr>
          <w:sz w:val="24"/>
          <w:lang w:val="ro-RO"/>
        </w:rPr>
        <w:t xml:space="preserve">care necesită atenție specială. Printre cele mai critice se numără </w:t>
      </w:r>
      <w:r w:rsidRPr="000C6E07">
        <w:rPr>
          <w:b/>
          <w:sz w:val="24"/>
          <w:lang w:val="ro-RO"/>
        </w:rPr>
        <w:t>limitările în coordonare operațională și imposibilitatea transmiterii fișei evenimentului</w:t>
      </w:r>
      <w:r w:rsidRPr="000C6E07">
        <w:rPr>
          <w:sz w:val="24"/>
          <w:lang w:val="ro-RO"/>
        </w:rPr>
        <w:t xml:space="preserve"> către echipa de intervenție în condițiile tehnice actuale. În plus dispecerii gestionează un volum de </w:t>
      </w:r>
      <w:r w:rsidRPr="000C6E07">
        <w:rPr>
          <w:b/>
          <w:sz w:val="24"/>
          <w:lang w:val="ro-RO"/>
        </w:rPr>
        <w:t>apeluri non</w:t>
      </w:r>
      <w:r w:rsidR="00B63119">
        <w:rPr>
          <w:b/>
          <w:sz w:val="24"/>
          <w:lang w:val="ro-RO"/>
        </w:rPr>
        <w:t xml:space="preserve"> </w:t>
      </w:r>
      <w:r w:rsidRPr="000C6E07">
        <w:rPr>
          <w:b/>
          <w:sz w:val="24"/>
          <w:lang w:val="ro-RO"/>
        </w:rPr>
        <w:t>urgente, apeluri false</w:t>
      </w:r>
      <w:r w:rsidRPr="000C6E07">
        <w:rPr>
          <w:sz w:val="24"/>
          <w:lang w:val="ro-RO"/>
        </w:rPr>
        <w:t xml:space="preserve"> sau apeluri care nu țin de competențele Poliției. În acest context, trebuie consolidată cooperarea între IGP și SNUAU 112 pentru a delimita clar apelurile urgente de cele non-urgente și pentru a armoniza sistemul informațional automatizat cu nevoile reale ale Poliției, precum și pentru a evalua constant eficiența proceselor de reacționare și a ajusta strategiile în funcție de rezultate</w:t>
      </w:r>
      <w:r w:rsidRPr="000C6E07">
        <w:rPr>
          <w:sz w:val="24"/>
          <w:szCs w:val="24"/>
          <w:lang w:val="ro-RO"/>
        </w:rPr>
        <w:t>, inclusiv prin integrarea conceptului de reorganizare a SNUAU, care să asigure o alocare mai eficientă a resurselor și o reacție operativă mai bine coordonată.</w:t>
      </w:r>
      <w:r w:rsidRPr="000C6E07">
        <w:rPr>
          <w:sz w:val="24"/>
          <w:lang w:val="ro-RO"/>
        </w:rPr>
        <w:t xml:space="preserve"> </w:t>
      </w:r>
    </w:p>
    <w:p w14:paraId="3DEB9398" w14:textId="634130ED" w:rsidR="00096CC5" w:rsidRPr="000C6E07" w:rsidRDefault="00096CC5" w:rsidP="00096CC5">
      <w:pPr>
        <w:spacing w:after="0"/>
        <w:ind w:firstLine="540"/>
        <w:jc w:val="both"/>
        <w:rPr>
          <w:sz w:val="24"/>
          <w:lang w:val="ro-RO"/>
        </w:rPr>
      </w:pPr>
      <w:r w:rsidRPr="00B63119">
        <w:rPr>
          <w:sz w:val="24"/>
          <w:lang w:val="ro-RO"/>
        </w:rPr>
        <w:t>Suplimentar, Sistemul Informațional Automatizat al SNUAU 112 este insuficient dezvoltat. Astfel, Poliția nu beneficiază de date dezagregate suficiente pentru a analiza în profunzime procesul de reacționare și a identifica direcțiile de îmbunătățire</w:t>
      </w:r>
    </w:p>
    <w:p w14:paraId="748ED3E2" w14:textId="0C0EF53F" w:rsidR="000C6E07" w:rsidRPr="000C6E07" w:rsidRDefault="000C6E07" w:rsidP="000C6E07">
      <w:pPr>
        <w:spacing w:after="0"/>
        <w:ind w:firstLine="540"/>
        <w:jc w:val="both"/>
        <w:rPr>
          <w:sz w:val="24"/>
          <w:lang w:val="ro-RO"/>
        </w:rPr>
      </w:pPr>
      <w:r w:rsidRPr="000C6E07">
        <w:rPr>
          <w:sz w:val="24"/>
          <w:lang w:val="ro-RO"/>
        </w:rPr>
        <w:t xml:space="preserve">Pe lângă alocarea de resurse, soluțiile pentru îmbunătățirea timpului de reacție și a calității intervențiilor ar trebui orientate spre consolidarea capacității instituționale prin formare continuă a personalului, optimizarea procedurilor de intervenție, îmbunătățirea colaborării dintre Poliție, SNUAU 112 și comunitate, precum și educarea publicului pentru utilizarea responsabilă a serviciilor de urgență. Procesul de optimizare a răspunsului la apelurile de urgență a fost inițiat prin crearea în 2023 a unui Grup de lucru pentru elaborarea Conceptului de dezvoltare a SNUAU 112, care a examinat și aspectele abordate în Programul de Ordine și Securitate Publică pentru anii 2022-2025. În 2024 a fost aprobată Instrucțiunea privind mecanismul de preluare a apelurilor de urgență (Ordinul șefului IGP nr.418/2024), </w:t>
      </w:r>
      <w:r w:rsidRPr="000C6E07">
        <w:rPr>
          <w:sz w:val="24"/>
          <w:szCs w:val="24"/>
          <w:lang w:val="ro-RO"/>
        </w:rPr>
        <w:t>și au fost stabilite norme de dotare pentru dispecerate sensibile la gen și dotarea acestora cu unități de echipament tehnic.</w:t>
      </w:r>
    </w:p>
    <w:p w14:paraId="26638D53" w14:textId="3A8405B8" w:rsidR="000C6E07" w:rsidRPr="000C6E07" w:rsidRDefault="000C6E07" w:rsidP="000C6E07">
      <w:pPr>
        <w:spacing w:after="0"/>
        <w:ind w:firstLine="540"/>
        <w:jc w:val="both"/>
        <w:rPr>
          <w:sz w:val="24"/>
          <w:szCs w:val="24"/>
          <w:lang w:val="ro-RO" w:eastAsia="ro-RO"/>
        </w:rPr>
      </w:pPr>
      <w:r w:rsidRPr="000C6E07">
        <w:rPr>
          <w:b/>
          <w:sz w:val="24"/>
          <w:szCs w:val="24"/>
          <w:lang w:val="ro-RO" w:eastAsia="ro-RO"/>
        </w:rPr>
        <w:t xml:space="preserve">IGP implementează de mai mulți ani conceptul de activitate polițienească comunitară, </w:t>
      </w:r>
      <w:r w:rsidRPr="000C6E07">
        <w:rPr>
          <w:sz w:val="24"/>
          <w:szCs w:val="24"/>
          <w:lang w:val="ro-RO" w:eastAsia="ro-RO"/>
        </w:rPr>
        <w:t xml:space="preserve">un model de organizare și desfășurare a activității poliției, centrat pe colaborarea activă dintre forțele de ordine și comunitate. Scopul principal este prevenirea infracționalității, creșterea siguranței și consolidarea încrederii reciproce. În perioada anterioară a fost evaluată implementarea conceptului cu suportul partenerilor suedezi </w:t>
      </w:r>
      <w:r w:rsidRPr="00B63119">
        <w:rPr>
          <w:sz w:val="24"/>
          <w:szCs w:val="24"/>
          <w:lang w:val="ro-RO" w:eastAsia="ro-RO"/>
        </w:rPr>
        <w:t>în</w:t>
      </w:r>
      <w:r w:rsidR="00B63119" w:rsidRPr="00B63119">
        <w:rPr>
          <w:sz w:val="24"/>
          <w:szCs w:val="24"/>
          <w:lang w:val="ro-RO" w:eastAsia="ro-RO"/>
        </w:rPr>
        <w:t xml:space="preserve"> </w:t>
      </w:r>
      <w:r w:rsidRPr="00B63119">
        <w:rPr>
          <w:sz w:val="24"/>
          <w:szCs w:val="24"/>
          <w:lang w:val="ro-RO" w:eastAsia="ro-RO"/>
        </w:rPr>
        <w:t>5</w:t>
      </w:r>
      <w:r w:rsidRPr="000C6E07">
        <w:rPr>
          <w:sz w:val="24"/>
          <w:szCs w:val="24"/>
          <w:lang w:val="ro-RO" w:eastAsia="ro-RO"/>
        </w:rPr>
        <w:t xml:space="preserve"> zone de pilotare. Rezultatele evaluării servesc la </w:t>
      </w:r>
      <w:r w:rsidRPr="000C6E07">
        <w:rPr>
          <w:sz w:val="24"/>
          <w:szCs w:val="24"/>
          <w:lang w:val="ro-RO"/>
        </w:rPr>
        <w:t xml:space="preserve">implementarea și extinderea conceptului de activitate </w:t>
      </w:r>
      <w:r w:rsidRPr="000C6E07">
        <w:rPr>
          <w:sz w:val="24"/>
          <w:szCs w:val="24"/>
          <w:lang w:val="ro-RO"/>
        </w:rPr>
        <w:lastRenderedPageBreak/>
        <w:t>polițienească comunitară</w:t>
      </w:r>
      <w:r w:rsidRPr="000C6E07">
        <w:rPr>
          <w:sz w:val="24"/>
          <w:szCs w:val="24"/>
          <w:lang w:val="ro-RO" w:eastAsia="ro-RO"/>
        </w:rPr>
        <w:t xml:space="preserve"> la nivel național, în baza</w:t>
      </w:r>
      <w:r w:rsidRPr="000C6E07">
        <w:rPr>
          <w:sz w:val="24"/>
          <w:szCs w:val="24"/>
          <w:lang w:val="ro-RO"/>
        </w:rPr>
        <w:t xml:space="preserve"> memorandumului de înțelegere între IGP și Autoritatea Suedeză de Poliție. </w:t>
      </w:r>
      <w:r w:rsidRPr="000C6E07">
        <w:rPr>
          <w:sz w:val="24"/>
          <w:szCs w:val="24"/>
          <w:lang w:val="ro-RO" w:eastAsia="ro-RO"/>
        </w:rPr>
        <w:t xml:space="preserve">În anul 2024 Conceptul de activitate polițienească comunitară a fost extins în 27 sectoare de poliție și au fost constituite 26 Consilii de siguranță comunitară, ajungând la un total de 862 de consilii de siguranță comunitară funcționale pe teritoriul țării. </w:t>
      </w:r>
    </w:p>
    <w:p w14:paraId="38408715" w14:textId="28B17CCA" w:rsidR="00D204BF" w:rsidRPr="00B63119" w:rsidRDefault="00D204BF" w:rsidP="00D204BF">
      <w:pPr>
        <w:spacing w:after="0"/>
        <w:ind w:firstLine="540"/>
        <w:jc w:val="both"/>
        <w:rPr>
          <w:sz w:val="24"/>
          <w:szCs w:val="24"/>
          <w:lang w:val="ro-RO" w:eastAsia="ro-RO"/>
        </w:rPr>
      </w:pPr>
      <w:r w:rsidRPr="00B63119">
        <w:rPr>
          <w:sz w:val="24"/>
          <w:szCs w:val="24"/>
          <w:lang w:val="ro-RO" w:eastAsia="ro-RO"/>
        </w:rPr>
        <w:t>Totodată, în contextul reorganizării structurale, Oficiul Avocatului Poporului</w:t>
      </w:r>
      <w:r w:rsidRPr="00B63119">
        <w:rPr>
          <w:rStyle w:val="aff3"/>
          <w:sz w:val="24"/>
          <w:szCs w:val="24"/>
          <w:lang w:val="ro-RO" w:eastAsia="ro-RO"/>
        </w:rPr>
        <w:footnoteReference w:id="12"/>
      </w:r>
      <w:r w:rsidRPr="00B63119">
        <w:rPr>
          <w:sz w:val="24"/>
          <w:szCs w:val="24"/>
          <w:lang w:val="ro-RO" w:eastAsia="ro-RO"/>
        </w:rPr>
        <w:t xml:space="preserve"> a subliniat importanța menținerii implicării Poliției în comunități și a funcției de prevenire locală, avertizând că o concentrare excesivă a resurselor la nivel regional ar putea afecta relația directă cu cetățenii.</w:t>
      </w:r>
    </w:p>
    <w:p w14:paraId="1E8AFCD5" w14:textId="6406B0F5" w:rsidR="00D204BF" w:rsidRPr="00B63119" w:rsidRDefault="00D204BF" w:rsidP="00D204BF">
      <w:pPr>
        <w:spacing w:after="0"/>
        <w:ind w:firstLine="540"/>
        <w:jc w:val="both"/>
        <w:rPr>
          <w:sz w:val="24"/>
          <w:szCs w:val="24"/>
          <w:lang w:val="ro-RO" w:eastAsia="ro-RO"/>
        </w:rPr>
      </w:pPr>
      <w:r w:rsidRPr="00B63119">
        <w:rPr>
          <w:sz w:val="24"/>
          <w:szCs w:val="24"/>
          <w:lang w:val="ro-RO" w:eastAsia="ro-RO"/>
        </w:rPr>
        <w:t xml:space="preserve">Cu toate acestea, </w:t>
      </w:r>
      <w:r w:rsidRPr="00B63119">
        <w:rPr>
          <w:b/>
          <w:bCs/>
          <w:sz w:val="24"/>
          <w:szCs w:val="24"/>
          <w:lang w:val="ro-RO" w:eastAsia="ro-RO"/>
        </w:rPr>
        <w:t>modelul de regionalizare propus de MAI prevede păstrarea inspectoratelor teritoriale de poliție</w:t>
      </w:r>
      <w:r w:rsidRPr="00B63119">
        <w:rPr>
          <w:sz w:val="24"/>
          <w:szCs w:val="24"/>
          <w:lang w:val="ro-RO" w:eastAsia="ro-RO"/>
        </w:rPr>
        <w:t xml:space="preserve">, care vor continua să funcționeze la nivelul unităților administrativ-teritoriale, dar exclusiv cu structuri operaționale, în timp ce personalul administrativ va fi preluat de direcțiile regionale. Astfel, </w:t>
      </w:r>
      <w:r w:rsidRPr="00B63119">
        <w:rPr>
          <w:b/>
          <w:bCs/>
          <w:sz w:val="24"/>
          <w:szCs w:val="24"/>
          <w:lang w:val="ro-RO" w:eastAsia="ro-RO"/>
        </w:rPr>
        <w:t xml:space="preserve">reforma vizează consolidarea prezenței </w:t>
      </w:r>
      <w:proofErr w:type="spellStart"/>
      <w:r w:rsidR="005723AE" w:rsidRPr="00B63119">
        <w:rPr>
          <w:b/>
          <w:bCs/>
          <w:sz w:val="24"/>
          <w:szCs w:val="24"/>
          <w:lang w:val="ro-RO" w:eastAsia="ro-RO"/>
        </w:rPr>
        <w:t>proactive</w:t>
      </w:r>
      <w:proofErr w:type="spellEnd"/>
      <w:r w:rsidRPr="00B63119">
        <w:rPr>
          <w:b/>
          <w:bCs/>
          <w:sz w:val="24"/>
          <w:szCs w:val="24"/>
          <w:lang w:val="ro-RO" w:eastAsia="ro-RO"/>
        </w:rPr>
        <w:t xml:space="preserve"> în teritoriu</w:t>
      </w:r>
      <w:r w:rsidRPr="00B63119">
        <w:rPr>
          <w:sz w:val="24"/>
          <w:szCs w:val="24"/>
          <w:lang w:val="ro-RO" w:eastAsia="ro-RO"/>
        </w:rPr>
        <w:t>, nu reducerea acesteia.</w:t>
      </w:r>
    </w:p>
    <w:p w14:paraId="60D63AE8" w14:textId="65C7FF59" w:rsidR="00D204BF" w:rsidRPr="000C6E07" w:rsidRDefault="00D204BF" w:rsidP="00B63119">
      <w:pPr>
        <w:spacing w:after="0"/>
        <w:ind w:firstLine="540"/>
        <w:jc w:val="both"/>
        <w:rPr>
          <w:sz w:val="24"/>
          <w:szCs w:val="24"/>
          <w:lang w:val="ro-RO" w:eastAsia="ro-RO"/>
        </w:rPr>
      </w:pPr>
      <w:r w:rsidRPr="00B63119">
        <w:rPr>
          <w:sz w:val="24"/>
          <w:szCs w:val="24"/>
          <w:lang w:val="ro-RO" w:eastAsia="ro-RO"/>
        </w:rPr>
        <w:t xml:space="preserve">Printre efectele prognozate se numără: </w:t>
      </w:r>
      <w:r w:rsidRPr="00B63119">
        <w:rPr>
          <w:b/>
          <w:bCs/>
          <w:sz w:val="24"/>
          <w:szCs w:val="24"/>
          <w:lang w:val="ro-RO" w:eastAsia="ro-RO"/>
        </w:rPr>
        <w:t>scăderea timpului de reacție cu minimum 15 minute</w:t>
      </w:r>
      <w:r w:rsidRPr="00B63119">
        <w:rPr>
          <w:sz w:val="24"/>
          <w:szCs w:val="24"/>
          <w:lang w:val="ro-RO" w:eastAsia="ro-RO"/>
        </w:rPr>
        <w:t xml:space="preserve">, </w:t>
      </w:r>
      <w:r w:rsidRPr="00B63119">
        <w:rPr>
          <w:b/>
          <w:bCs/>
          <w:sz w:val="24"/>
          <w:szCs w:val="24"/>
          <w:lang w:val="ro-RO" w:eastAsia="ro-RO"/>
        </w:rPr>
        <w:t>aplicarea principiului celei mai apropiate patrule</w:t>
      </w:r>
      <w:r w:rsidRPr="00B63119">
        <w:rPr>
          <w:sz w:val="24"/>
          <w:szCs w:val="24"/>
          <w:lang w:val="ro-RO" w:eastAsia="ro-RO"/>
        </w:rPr>
        <w:t xml:space="preserve">, precum și </w:t>
      </w:r>
      <w:r w:rsidRPr="00B63119">
        <w:rPr>
          <w:b/>
          <w:bCs/>
          <w:sz w:val="24"/>
          <w:szCs w:val="24"/>
          <w:lang w:val="ro-RO" w:eastAsia="ro-RO"/>
        </w:rPr>
        <w:t>realocarea resurselor din funcțiile administrative către cele de patrulare și intervenție</w:t>
      </w:r>
      <w:r w:rsidRPr="00B63119">
        <w:rPr>
          <w:sz w:val="24"/>
          <w:szCs w:val="24"/>
          <w:lang w:val="ro-RO" w:eastAsia="ro-RO"/>
        </w:rPr>
        <w:t xml:space="preserve">, cu accent pe apropierea de cetățean și soluționarea promptă a problemelor locale. În acest sens, reorganizarea urmărește nu doar eficiența instituțională, </w:t>
      </w:r>
      <w:r w:rsidR="005723AE" w:rsidRPr="00B63119">
        <w:rPr>
          <w:sz w:val="24"/>
          <w:szCs w:val="24"/>
          <w:lang w:val="ro-RO" w:eastAsia="ro-RO"/>
        </w:rPr>
        <w:t>dar</w:t>
      </w:r>
      <w:r w:rsidRPr="00B63119">
        <w:rPr>
          <w:sz w:val="24"/>
          <w:szCs w:val="24"/>
          <w:lang w:val="ro-RO" w:eastAsia="ro-RO"/>
        </w:rPr>
        <w:t xml:space="preserve"> și </w:t>
      </w:r>
      <w:r w:rsidR="005723AE" w:rsidRPr="00B63119">
        <w:rPr>
          <w:b/>
          <w:bCs/>
          <w:sz w:val="24"/>
          <w:szCs w:val="24"/>
          <w:lang w:val="ro-RO" w:eastAsia="ro-RO"/>
        </w:rPr>
        <w:t>consolidarea</w:t>
      </w:r>
      <w:r w:rsidRPr="00B63119">
        <w:rPr>
          <w:b/>
          <w:bCs/>
          <w:sz w:val="24"/>
          <w:szCs w:val="24"/>
          <w:lang w:val="ro-RO" w:eastAsia="ro-RO"/>
        </w:rPr>
        <w:t xml:space="preserve"> legăturii dintre Poliție și comunitate</w:t>
      </w:r>
      <w:r w:rsidRPr="00B63119">
        <w:rPr>
          <w:sz w:val="24"/>
          <w:szCs w:val="24"/>
          <w:lang w:val="ro-RO" w:eastAsia="ro-RO"/>
        </w:rPr>
        <w:t>, în spiritul unui model de ordine publică centrat pe prevenire, vizibilitate și parteneriat cu societatea.</w:t>
      </w:r>
    </w:p>
    <w:p w14:paraId="1B001F9A" w14:textId="77777777" w:rsidR="000C6E07" w:rsidRPr="000C6E07" w:rsidRDefault="000C6E07" w:rsidP="000C6E07">
      <w:pPr>
        <w:spacing w:before="240"/>
        <w:jc w:val="center"/>
        <w:rPr>
          <w:b/>
          <w:sz w:val="24"/>
          <w:lang w:val="ro-RO"/>
        </w:rPr>
      </w:pPr>
      <w:r w:rsidRPr="000C6E07">
        <w:rPr>
          <w:b/>
          <w:sz w:val="24"/>
          <w:lang w:val="ro-RO"/>
        </w:rPr>
        <w:t>Secțiunea 2. Siguranța la evenimentele publice</w:t>
      </w:r>
    </w:p>
    <w:p w14:paraId="6EC92A43" w14:textId="77777777" w:rsidR="000C6E07" w:rsidRPr="000C6E07" w:rsidRDefault="000C6E07" w:rsidP="000C6E07">
      <w:pPr>
        <w:spacing w:after="0"/>
        <w:ind w:firstLine="540"/>
        <w:jc w:val="both"/>
        <w:rPr>
          <w:sz w:val="24"/>
          <w:szCs w:val="24"/>
          <w:lang w:val="ro-RO"/>
        </w:rPr>
      </w:pPr>
      <w:r w:rsidRPr="000C6E07">
        <w:rPr>
          <w:sz w:val="24"/>
          <w:szCs w:val="24"/>
          <w:lang w:val="ro-RO"/>
        </w:rPr>
        <w:t>Numărul anual de evenimente publice a crescut de la peste 13 mii în 2021 la peste 18 mii în 2024 cu un maxim de peste 22 mii în 2023. Cele mai numeroase sunt evenimentele cu caracter social-politic, urmate de cele cu caracter religios, acțiunile cultural artistice și cele cu caracter sportiv.</w:t>
      </w:r>
    </w:p>
    <w:p w14:paraId="36674BF2" w14:textId="77777777" w:rsidR="000C6E07" w:rsidRPr="000C6E07" w:rsidRDefault="000C6E07" w:rsidP="000C6E07">
      <w:pPr>
        <w:spacing w:after="0"/>
        <w:ind w:firstLine="540"/>
        <w:jc w:val="center"/>
        <w:rPr>
          <w:b/>
          <w:sz w:val="24"/>
          <w:szCs w:val="24"/>
          <w:lang w:val="ro-RO"/>
        </w:rPr>
      </w:pPr>
    </w:p>
    <w:p w14:paraId="33D94347" w14:textId="77777777" w:rsidR="000C6E07" w:rsidRPr="000C6E07" w:rsidRDefault="000C6E07" w:rsidP="000C6E07">
      <w:pPr>
        <w:spacing w:after="0"/>
        <w:jc w:val="center"/>
        <w:rPr>
          <w:color w:val="0070C0"/>
          <w:sz w:val="24"/>
          <w:szCs w:val="24"/>
          <w:lang w:val="ro-RO"/>
        </w:rPr>
      </w:pPr>
      <w:r w:rsidRPr="000C6E07">
        <w:rPr>
          <w:noProof/>
          <w:lang w:val="ro-RO"/>
        </w:rPr>
        <w:drawing>
          <wp:inline distT="0" distB="0" distL="0" distR="0" wp14:anchorId="0DF835D3" wp14:editId="0635936F">
            <wp:extent cx="5940000" cy="2520000"/>
            <wp:effectExtent l="0" t="0" r="381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0F6D5C2"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16. </w:t>
      </w:r>
      <w:r w:rsidRPr="000C6E07">
        <w:rPr>
          <w:bCs/>
          <w:i/>
          <w:sz w:val="24"/>
          <w:szCs w:val="24"/>
          <w:lang w:val="ro-RO"/>
        </w:rPr>
        <w:t>Evenimente publice pe tipuri și pe ani</w:t>
      </w:r>
    </w:p>
    <w:p w14:paraId="08733A96" w14:textId="77777777" w:rsidR="000C6E07" w:rsidRPr="000C6E07" w:rsidRDefault="000C6E07" w:rsidP="000C6E07">
      <w:pPr>
        <w:pStyle w:val="Normal3"/>
        <w:spacing w:before="0" w:beforeAutospacing="0" w:after="120" w:line="240" w:lineRule="auto"/>
        <w:ind w:firstLine="539"/>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Poliției/Inspectoratul General de Carabinieri</w:t>
      </w:r>
    </w:p>
    <w:p w14:paraId="479B4E6E" w14:textId="77777777" w:rsidR="000C6E07" w:rsidRPr="000C6E07" w:rsidRDefault="000C6E07" w:rsidP="000C6E07">
      <w:pPr>
        <w:spacing w:after="0"/>
        <w:ind w:firstLine="540"/>
        <w:jc w:val="both"/>
        <w:rPr>
          <w:sz w:val="24"/>
          <w:szCs w:val="24"/>
          <w:lang w:val="ro-RO"/>
        </w:rPr>
      </w:pPr>
      <w:r w:rsidRPr="000C6E07">
        <w:rPr>
          <w:sz w:val="24"/>
          <w:szCs w:val="24"/>
          <w:lang w:val="ro-RO"/>
        </w:rPr>
        <w:t>În 2024, la fel ca și în anii precedenți, cele mai frecvente tipuri de evenimente au fost cele social-politice, reprezentând 9.966 de evenimente, respectiv 54% din total. Dintre acestea, 489 au fost mitinguri și acțiuni de protest. Următoarele ca pondere au fost evenimentele cu caracter religios, cu 4.359 manifestări (24% din total), urmate de acțiunile cultural-artistice, în număr de 3.543 (19%), și evenimentele sportive, care au însumat 653 de manifestări (3%). (Figura 17</w:t>
      </w:r>
      <w:r w:rsidRPr="000C6E07">
        <w:rPr>
          <w:i/>
          <w:sz w:val="24"/>
          <w:szCs w:val="24"/>
          <w:lang w:val="ro-RO"/>
        </w:rPr>
        <w:t>)</w:t>
      </w:r>
      <w:r w:rsidRPr="000C6E07">
        <w:rPr>
          <w:sz w:val="24"/>
          <w:szCs w:val="24"/>
          <w:lang w:val="ro-RO"/>
        </w:rPr>
        <w:t xml:space="preserve">. </w:t>
      </w:r>
    </w:p>
    <w:p w14:paraId="2C1CA5CF" w14:textId="77777777" w:rsidR="000C6E07" w:rsidRPr="000C6E07" w:rsidRDefault="000C6E07" w:rsidP="000C6E07">
      <w:pPr>
        <w:pStyle w:val="Normal3"/>
        <w:spacing w:before="0" w:beforeAutospacing="0" w:after="0" w:line="240" w:lineRule="auto"/>
        <w:ind w:firstLine="540"/>
        <w:jc w:val="center"/>
        <w:rPr>
          <w:rFonts w:ascii="Times New Roman" w:hAnsi="Times New Roman"/>
          <w:i/>
          <w:sz w:val="24"/>
          <w:szCs w:val="24"/>
          <w:lang w:val="ro-RO"/>
        </w:rPr>
      </w:pPr>
    </w:p>
    <w:p w14:paraId="6211B37D" w14:textId="77777777" w:rsidR="000C6E07" w:rsidRPr="000C6E07" w:rsidRDefault="000C6E07" w:rsidP="000C6E07">
      <w:pPr>
        <w:spacing w:after="0"/>
        <w:jc w:val="center"/>
        <w:rPr>
          <w:b/>
          <w:color w:val="0070C0"/>
          <w:sz w:val="24"/>
          <w:szCs w:val="24"/>
          <w:lang w:val="ro-RO"/>
        </w:rPr>
      </w:pPr>
      <w:r w:rsidRPr="000C6E07">
        <w:rPr>
          <w:noProof/>
          <w:lang w:val="ro-RO"/>
        </w:rPr>
        <w:lastRenderedPageBreak/>
        <w:drawing>
          <wp:inline distT="0" distB="0" distL="0" distR="0" wp14:anchorId="5065AA24" wp14:editId="673D1658">
            <wp:extent cx="3705308" cy="1727835"/>
            <wp:effectExtent l="0" t="0" r="9525" b="571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1FB294" w14:textId="77777777" w:rsidR="000C6E07" w:rsidRPr="000C6E07" w:rsidRDefault="000C6E07" w:rsidP="000C6E07">
      <w:pPr>
        <w:spacing w:after="0"/>
        <w:ind w:firstLine="540"/>
        <w:jc w:val="center"/>
        <w:rPr>
          <w:b/>
          <w:sz w:val="24"/>
          <w:szCs w:val="24"/>
          <w:lang w:val="ro-RO"/>
        </w:rPr>
      </w:pPr>
      <w:r w:rsidRPr="000C6E07">
        <w:rPr>
          <w:b/>
          <w:bCs/>
          <w:sz w:val="24"/>
          <w:szCs w:val="24"/>
          <w:lang w:val="ro-RO"/>
        </w:rPr>
        <w:t xml:space="preserve">Figura 17. </w:t>
      </w:r>
      <w:r w:rsidRPr="000C6E07">
        <w:rPr>
          <w:bCs/>
          <w:i/>
          <w:sz w:val="24"/>
          <w:szCs w:val="24"/>
          <w:lang w:val="ro-RO"/>
        </w:rPr>
        <w:t>Ponderea diferitor tipuri de evenimente publice, 2024</w:t>
      </w:r>
    </w:p>
    <w:p w14:paraId="4712AE62" w14:textId="77777777" w:rsidR="000C6E07" w:rsidRPr="000C6E07" w:rsidRDefault="000C6E07" w:rsidP="000C6E07">
      <w:pPr>
        <w:pStyle w:val="Normal3"/>
        <w:spacing w:before="0" w:beforeAutospacing="0" w:line="240" w:lineRule="auto"/>
        <w:ind w:firstLine="540"/>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Poliției/Inspectoratul General de Carabinieri</w:t>
      </w:r>
    </w:p>
    <w:p w14:paraId="32B8BE8B"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Pe parcursul anului 2024, la toate evenimentele organizate au participat cumulativ peste 6,3 milioane de persoane, iar ordinea publică a fost asigurată prin mobilizarea a peste 61 de mii de polițiști și carabinieri. Comparativ, în 2022 și 2023, numărul forțelor implicate a fost semnificativ mai mare, depășind 77 de mii, respectiv 85 de mii de angajați. Ponderea carabinierilor implicați este mai mică decât ponderea polițiștilor, dar a crescut în ultimii ani de la 15% în 2021 la 27% în 2024. </w:t>
      </w:r>
    </w:p>
    <w:p w14:paraId="7472A546"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În 2024, media angajaților implicați per eveniment a fost de 3,3, în scădere față de 2022, când s-a înregistrat o medie de 5,2 angajați per eveniment. Totodată, raportul dintre numărul de participanți și cel al angajaților a crescut considerabil, de la 59 în 2021 la 104 în 2024. (Tabelul 3) Această evoluție indică o necesitate permanentă de creștere a eficienței și optimizare a resurselor umane în gestionarea ordinii publice la evenimente. Numărul de forțe implicate este ajustat continuu în funcție de gradul de risc al evenimentelor.  </w:t>
      </w:r>
    </w:p>
    <w:p w14:paraId="6D3B52E8" w14:textId="77777777" w:rsidR="000C6E07" w:rsidRPr="000C6E07" w:rsidRDefault="000C6E07" w:rsidP="000C6E07">
      <w:pPr>
        <w:spacing w:after="0"/>
        <w:ind w:firstLine="540"/>
        <w:jc w:val="center"/>
        <w:rPr>
          <w:color w:val="0070C0"/>
          <w:sz w:val="24"/>
          <w:szCs w:val="24"/>
          <w:lang w:val="ro-RO"/>
        </w:rPr>
      </w:pPr>
    </w:p>
    <w:p w14:paraId="17E87E74" w14:textId="77777777" w:rsidR="000C6E07" w:rsidRPr="000C6E07" w:rsidRDefault="000C6E07" w:rsidP="005349DF">
      <w:pPr>
        <w:spacing w:after="0"/>
        <w:ind w:firstLine="540"/>
        <w:jc w:val="center"/>
        <w:rPr>
          <w:b/>
          <w:sz w:val="24"/>
          <w:szCs w:val="24"/>
          <w:lang w:val="ro-RO"/>
        </w:rPr>
      </w:pPr>
      <w:r w:rsidRPr="000C6E07">
        <w:rPr>
          <w:b/>
          <w:sz w:val="24"/>
          <w:szCs w:val="24"/>
          <w:lang w:val="ro-RO"/>
        </w:rPr>
        <w:t xml:space="preserve">Tabelul 3. </w:t>
      </w:r>
      <w:r w:rsidRPr="000C6E07">
        <w:rPr>
          <w:i/>
          <w:sz w:val="24"/>
          <w:szCs w:val="24"/>
          <w:lang w:val="ro-RO"/>
        </w:rPr>
        <w:t xml:space="preserve"> </w:t>
      </w:r>
      <w:r w:rsidRPr="000C6E07">
        <w:rPr>
          <w:b/>
          <w:sz w:val="24"/>
          <w:szCs w:val="24"/>
          <w:lang w:val="ro-RO"/>
        </w:rPr>
        <w:t>Date privind evenimentele publice (2021-2024)</w:t>
      </w:r>
    </w:p>
    <w:tbl>
      <w:tblPr>
        <w:tblW w:w="9233" w:type="dxa"/>
        <w:jc w:val="center"/>
        <w:tblLook w:val="04A0" w:firstRow="1" w:lastRow="0" w:firstColumn="1" w:lastColumn="0" w:noHBand="0" w:noVBand="1"/>
      </w:tblPr>
      <w:tblGrid>
        <w:gridCol w:w="4253"/>
        <w:gridCol w:w="1245"/>
        <w:gridCol w:w="1245"/>
        <w:gridCol w:w="1245"/>
        <w:gridCol w:w="1245"/>
      </w:tblGrid>
      <w:tr w:rsidR="000C6E07" w:rsidRPr="000C6E07" w14:paraId="30C75435" w14:textId="77777777" w:rsidTr="000C6E07">
        <w:trPr>
          <w:trHeight w:val="290"/>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14:paraId="4D47D878" w14:textId="77777777" w:rsidR="000C6E07" w:rsidRPr="000C6E07" w:rsidRDefault="000C6E07" w:rsidP="000C6E07">
            <w:pPr>
              <w:spacing w:after="0"/>
              <w:rPr>
                <w:color w:val="000000"/>
                <w:sz w:val="20"/>
                <w:szCs w:val="20"/>
                <w:lang w:val="ro-RO"/>
              </w:rPr>
            </w:pPr>
            <w:r w:rsidRPr="000C6E07">
              <w:rPr>
                <w:color w:val="000000"/>
                <w:sz w:val="20"/>
                <w:szCs w:val="20"/>
                <w:lang w:val="ro-RO"/>
              </w:rPr>
              <w:t> </w:t>
            </w:r>
          </w:p>
        </w:tc>
        <w:tc>
          <w:tcPr>
            <w:tcW w:w="1245" w:type="dxa"/>
            <w:tcBorders>
              <w:top w:val="single" w:sz="4" w:space="0" w:color="auto"/>
              <w:left w:val="nil"/>
              <w:bottom w:val="single" w:sz="4" w:space="0" w:color="auto"/>
              <w:right w:val="single" w:sz="4" w:space="0" w:color="auto"/>
            </w:tcBorders>
            <w:vAlign w:val="center"/>
            <w:hideMark/>
          </w:tcPr>
          <w:p w14:paraId="58485380"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2021</w:t>
            </w:r>
          </w:p>
        </w:tc>
        <w:tc>
          <w:tcPr>
            <w:tcW w:w="1245" w:type="dxa"/>
            <w:tcBorders>
              <w:top w:val="single" w:sz="4" w:space="0" w:color="auto"/>
              <w:left w:val="nil"/>
              <w:bottom w:val="single" w:sz="4" w:space="0" w:color="auto"/>
              <w:right w:val="single" w:sz="4" w:space="0" w:color="auto"/>
            </w:tcBorders>
            <w:vAlign w:val="center"/>
            <w:hideMark/>
          </w:tcPr>
          <w:p w14:paraId="69B8428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2022</w:t>
            </w:r>
          </w:p>
        </w:tc>
        <w:tc>
          <w:tcPr>
            <w:tcW w:w="1245" w:type="dxa"/>
            <w:tcBorders>
              <w:top w:val="single" w:sz="4" w:space="0" w:color="auto"/>
              <w:left w:val="nil"/>
              <w:bottom w:val="single" w:sz="4" w:space="0" w:color="auto"/>
              <w:right w:val="single" w:sz="4" w:space="0" w:color="auto"/>
            </w:tcBorders>
            <w:vAlign w:val="center"/>
            <w:hideMark/>
          </w:tcPr>
          <w:p w14:paraId="5CDCCD2B"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2023</w:t>
            </w:r>
          </w:p>
        </w:tc>
        <w:tc>
          <w:tcPr>
            <w:tcW w:w="1245" w:type="dxa"/>
            <w:tcBorders>
              <w:top w:val="single" w:sz="4" w:space="0" w:color="auto"/>
              <w:left w:val="nil"/>
              <w:bottom w:val="single" w:sz="4" w:space="0" w:color="auto"/>
              <w:right w:val="single" w:sz="4" w:space="0" w:color="auto"/>
            </w:tcBorders>
            <w:vAlign w:val="center"/>
            <w:hideMark/>
          </w:tcPr>
          <w:p w14:paraId="1DB7D732"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2024</w:t>
            </w:r>
          </w:p>
        </w:tc>
      </w:tr>
      <w:tr w:rsidR="000C6E07" w:rsidRPr="000C6E07" w14:paraId="6DF293DC" w14:textId="77777777" w:rsidTr="000C6E07">
        <w:trPr>
          <w:trHeight w:val="141"/>
          <w:jc w:val="center"/>
        </w:trPr>
        <w:tc>
          <w:tcPr>
            <w:tcW w:w="4253" w:type="dxa"/>
            <w:tcBorders>
              <w:top w:val="nil"/>
              <w:left w:val="single" w:sz="4" w:space="0" w:color="auto"/>
              <w:bottom w:val="single" w:sz="4" w:space="0" w:color="auto"/>
              <w:right w:val="single" w:sz="4" w:space="0" w:color="auto"/>
            </w:tcBorders>
            <w:vAlign w:val="center"/>
            <w:hideMark/>
          </w:tcPr>
          <w:p w14:paraId="69F65430" w14:textId="77777777" w:rsidR="000C6E07" w:rsidRPr="000C6E07" w:rsidRDefault="000C6E07" w:rsidP="000C6E07">
            <w:pPr>
              <w:spacing w:after="0"/>
              <w:rPr>
                <w:b/>
                <w:bCs/>
                <w:color w:val="000000"/>
                <w:sz w:val="20"/>
                <w:szCs w:val="20"/>
                <w:lang w:val="ro-RO"/>
              </w:rPr>
            </w:pPr>
            <w:r w:rsidRPr="000C6E07">
              <w:rPr>
                <w:b/>
                <w:bCs/>
                <w:color w:val="000000"/>
                <w:sz w:val="20"/>
                <w:szCs w:val="20"/>
                <w:lang w:val="ro-RO"/>
              </w:rPr>
              <w:t>Total evenimente publice (inclusiv întruniri)</w:t>
            </w:r>
          </w:p>
        </w:tc>
        <w:tc>
          <w:tcPr>
            <w:tcW w:w="1245" w:type="dxa"/>
            <w:tcBorders>
              <w:top w:val="nil"/>
              <w:left w:val="nil"/>
              <w:bottom w:val="single" w:sz="4" w:space="0" w:color="auto"/>
              <w:right w:val="single" w:sz="4" w:space="0" w:color="auto"/>
            </w:tcBorders>
            <w:vAlign w:val="center"/>
            <w:hideMark/>
          </w:tcPr>
          <w:p w14:paraId="2A089499"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13265</w:t>
            </w:r>
          </w:p>
        </w:tc>
        <w:tc>
          <w:tcPr>
            <w:tcW w:w="1245" w:type="dxa"/>
            <w:tcBorders>
              <w:top w:val="nil"/>
              <w:left w:val="nil"/>
              <w:bottom w:val="single" w:sz="4" w:space="0" w:color="auto"/>
              <w:right w:val="single" w:sz="4" w:space="0" w:color="auto"/>
            </w:tcBorders>
            <w:vAlign w:val="center"/>
            <w:hideMark/>
          </w:tcPr>
          <w:p w14:paraId="26397F49"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14910</w:t>
            </w:r>
          </w:p>
        </w:tc>
        <w:tc>
          <w:tcPr>
            <w:tcW w:w="1245" w:type="dxa"/>
            <w:tcBorders>
              <w:top w:val="nil"/>
              <w:left w:val="nil"/>
              <w:bottom w:val="single" w:sz="4" w:space="0" w:color="auto"/>
              <w:right w:val="single" w:sz="4" w:space="0" w:color="auto"/>
            </w:tcBorders>
            <w:vAlign w:val="center"/>
            <w:hideMark/>
          </w:tcPr>
          <w:p w14:paraId="06D4D4DC"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22326</w:t>
            </w:r>
          </w:p>
        </w:tc>
        <w:tc>
          <w:tcPr>
            <w:tcW w:w="1245" w:type="dxa"/>
            <w:tcBorders>
              <w:top w:val="nil"/>
              <w:left w:val="nil"/>
              <w:bottom w:val="single" w:sz="4" w:space="0" w:color="auto"/>
              <w:right w:val="single" w:sz="4" w:space="0" w:color="auto"/>
            </w:tcBorders>
            <w:vAlign w:val="center"/>
            <w:hideMark/>
          </w:tcPr>
          <w:p w14:paraId="2DF6BE62"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18521</w:t>
            </w:r>
          </w:p>
        </w:tc>
      </w:tr>
      <w:tr w:rsidR="000C6E07" w:rsidRPr="000C6E07" w14:paraId="732CFAC3"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0E1F4C19" w14:textId="77777777" w:rsidR="000C6E07" w:rsidRPr="000C6E07" w:rsidRDefault="000C6E07" w:rsidP="000C6E07">
            <w:pPr>
              <w:spacing w:after="0"/>
              <w:rPr>
                <w:b/>
                <w:bCs/>
                <w:i/>
                <w:iCs/>
                <w:color w:val="000000"/>
                <w:sz w:val="20"/>
                <w:szCs w:val="20"/>
                <w:lang w:val="ro-RO"/>
              </w:rPr>
            </w:pPr>
            <w:r w:rsidRPr="000C6E07">
              <w:rPr>
                <w:b/>
                <w:bCs/>
                <w:i/>
                <w:iCs/>
                <w:color w:val="000000"/>
                <w:sz w:val="20"/>
                <w:szCs w:val="20"/>
                <w:lang w:val="ro-RO"/>
              </w:rPr>
              <w:t>Total participanți</w:t>
            </w:r>
          </w:p>
        </w:tc>
        <w:tc>
          <w:tcPr>
            <w:tcW w:w="1245" w:type="dxa"/>
            <w:tcBorders>
              <w:top w:val="nil"/>
              <w:left w:val="nil"/>
              <w:bottom w:val="single" w:sz="4" w:space="0" w:color="auto"/>
              <w:right w:val="single" w:sz="4" w:space="0" w:color="auto"/>
            </w:tcBorders>
            <w:vAlign w:val="center"/>
            <w:hideMark/>
          </w:tcPr>
          <w:p w14:paraId="61B70138"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2612896</w:t>
            </w:r>
          </w:p>
        </w:tc>
        <w:tc>
          <w:tcPr>
            <w:tcW w:w="1245" w:type="dxa"/>
            <w:tcBorders>
              <w:top w:val="nil"/>
              <w:left w:val="nil"/>
              <w:bottom w:val="single" w:sz="4" w:space="0" w:color="auto"/>
              <w:right w:val="single" w:sz="4" w:space="0" w:color="auto"/>
            </w:tcBorders>
            <w:vAlign w:val="center"/>
            <w:hideMark/>
          </w:tcPr>
          <w:p w14:paraId="44B6ACA4"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3372678</w:t>
            </w:r>
          </w:p>
        </w:tc>
        <w:tc>
          <w:tcPr>
            <w:tcW w:w="1245" w:type="dxa"/>
            <w:tcBorders>
              <w:top w:val="nil"/>
              <w:left w:val="nil"/>
              <w:bottom w:val="single" w:sz="4" w:space="0" w:color="auto"/>
              <w:right w:val="single" w:sz="4" w:space="0" w:color="auto"/>
            </w:tcBorders>
            <w:vAlign w:val="center"/>
            <w:hideMark/>
          </w:tcPr>
          <w:p w14:paraId="2F09ED9D"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5682666</w:t>
            </w:r>
          </w:p>
        </w:tc>
        <w:tc>
          <w:tcPr>
            <w:tcW w:w="1245" w:type="dxa"/>
            <w:tcBorders>
              <w:top w:val="nil"/>
              <w:left w:val="nil"/>
              <w:bottom w:val="single" w:sz="4" w:space="0" w:color="auto"/>
              <w:right w:val="single" w:sz="4" w:space="0" w:color="auto"/>
            </w:tcBorders>
            <w:vAlign w:val="center"/>
            <w:hideMark/>
          </w:tcPr>
          <w:p w14:paraId="2AED784D" w14:textId="77777777" w:rsidR="000C6E07" w:rsidRPr="000C6E07" w:rsidRDefault="000C6E07" w:rsidP="000C6E07">
            <w:pPr>
              <w:spacing w:after="0"/>
              <w:jc w:val="center"/>
              <w:rPr>
                <w:b/>
                <w:bCs/>
                <w:i/>
                <w:iCs/>
                <w:color w:val="000000"/>
                <w:sz w:val="20"/>
                <w:szCs w:val="20"/>
                <w:lang w:val="ro-RO"/>
              </w:rPr>
            </w:pPr>
            <w:r w:rsidRPr="000C6E07">
              <w:rPr>
                <w:b/>
                <w:bCs/>
                <w:i/>
                <w:iCs/>
                <w:color w:val="000000"/>
                <w:sz w:val="20"/>
                <w:szCs w:val="20"/>
                <w:lang w:val="ro-RO"/>
              </w:rPr>
              <w:t>6352391</w:t>
            </w:r>
          </w:p>
        </w:tc>
      </w:tr>
      <w:tr w:rsidR="000C6E07" w:rsidRPr="000C6E07" w14:paraId="4FBE1D65"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1F9CEE0C" w14:textId="77777777" w:rsidR="000C6E07" w:rsidRPr="000C6E07" w:rsidRDefault="000C6E07" w:rsidP="000C6E07">
            <w:pPr>
              <w:spacing w:after="0"/>
              <w:rPr>
                <w:color w:val="000000"/>
                <w:sz w:val="20"/>
                <w:szCs w:val="20"/>
                <w:lang w:val="ro-RO"/>
              </w:rPr>
            </w:pPr>
            <w:r w:rsidRPr="000C6E07">
              <w:rPr>
                <w:color w:val="000000"/>
                <w:sz w:val="20"/>
                <w:szCs w:val="20"/>
                <w:lang w:val="ro-RO"/>
              </w:rPr>
              <w:t>Total angajați IGP implicați</w:t>
            </w:r>
          </w:p>
        </w:tc>
        <w:tc>
          <w:tcPr>
            <w:tcW w:w="1245" w:type="dxa"/>
            <w:tcBorders>
              <w:top w:val="nil"/>
              <w:left w:val="nil"/>
              <w:bottom w:val="single" w:sz="4" w:space="0" w:color="auto"/>
              <w:right w:val="single" w:sz="4" w:space="0" w:color="auto"/>
            </w:tcBorders>
            <w:vAlign w:val="center"/>
            <w:hideMark/>
          </w:tcPr>
          <w:p w14:paraId="626508B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37253</w:t>
            </w:r>
          </w:p>
        </w:tc>
        <w:tc>
          <w:tcPr>
            <w:tcW w:w="1245" w:type="dxa"/>
            <w:tcBorders>
              <w:top w:val="nil"/>
              <w:left w:val="nil"/>
              <w:bottom w:val="single" w:sz="4" w:space="0" w:color="auto"/>
              <w:right w:val="single" w:sz="4" w:space="0" w:color="auto"/>
            </w:tcBorders>
            <w:vAlign w:val="center"/>
            <w:hideMark/>
          </w:tcPr>
          <w:p w14:paraId="590C43D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57783</w:t>
            </w:r>
          </w:p>
        </w:tc>
        <w:tc>
          <w:tcPr>
            <w:tcW w:w="1245" w:type="dxa"/>
            <w:tcBorders>
              <w:top w:val="nil"/>
              <w:left w:val="nil"/>
              <w:bottom w:val="single" w:sz="4" w:space="0" w:color="auto"/>
              <w:right w:val="single" w:sz="4" w:space="0" w:color="auto"/>
            </w:tcBorders>
            <w:vAlign w:val="center"/>
            <w:hideMark/>
          </w:tcPr>
          <w:p w14:paraId="4692CC5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64790</w:t>
            </w:r>
          </w:p>
        </w:tc>
        <w:tc>
          <w:tcPr>
            <w:tcW w:w="1245" w:type="dxa"/>
            <w:tcBorders>
              <w:top w:val="nil"/>
              <w:left w:val="nil"/>
              <w:bottom w:val="single" w:sz="4" w:space="0" w:color="auto"/>
              <w:right w:val="single" w:sz="4" w:space="0" w:color="auto"/>
            </w:tcBorders>
            <w:vAlign w:val="center"/>
            <w:hideMark/>
          </w:tcPr>
          <w:p w14:paraId="08B62BE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44380</w:t>
            </w:r>
          </w:p>
        </w:tc>
      </w:tr>
      <w:tr w:rsidR="000C6E07" w:rsidRPr="000C6E07" w14:paraId="1501DF29"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4B7A908B" w14:textId="77777777" w:rsidR="000C6E07" w:rsidRPr="000C6E07" w:rsidRDefault="000C6E07" w:rsidP="000C6E07">
            <w:pPr>
              <w:spacing w:after="0"/>
              <w:jc w:val="both"/>
              <w:rPr>
                <w:sz w:val="20"/>
                <w:szCs w:val="20"/>
                <w:lang w:val="ro-RO"/>
              </w:rPr>
            </w:pPr>
            <w:r w:rsidRPr="000C6E07">
              <w:rPr>
                <w:sz w:val="20"/>
                <w:szCs w:val="20"/>
                <w:lang w:val="ro-RO"/>
              </w:rPr>
              <w:t>Total angajați IGC implicați</w:t>
            </w:r>
          </w:p>
        </w:tc>
        <w:tc>
          <w:tcPr>
            <w:tcW w:w="1245" w:type="dxa"/>
            <w:tcBorders>
              <w:top w:val="nil"/>
              <w:left w:val="nil"/>
              <w:bottom w:val="single" w:sz="4" w:space="0" w:color="auto"/>
              <w:right w:val="single" w:sz="4" w:space="0" w:color="auto"/>
            </w:tcBorders>
            <w:vAlign w:val="center"/>
            <w:hideMark/>
          </w:tcPr>
          <w:p w14:paraId="3808111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6824</w:t>
            </w:r>
          </w:p>
        </w:tc>
        <w:tc>
          <w:tcPr>
            <w:tcW w:w="1245" w:type="dxa"/>
            <w:tcBorders>
              <w:top w:val="nil"/>
              <w:left w:val="nil"/>
              <w:bottom w:val="single" w:sz="4" w:space="0" w:color="auto"/>
              <w:right w:val="single" w:sz="4" w:space="0" w:color="auto"/>
            </w:tcBorders>
            <w:vAlign w:val="center"/>
            <w:hideMark/>
          </w:tcPr>
          <w:p w14:paraId="28839A96"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19915</w:t>
            </w:r>
          </w:p>
        </w:tc>
        <w:tc>
          <w:tcPr>
            <w:tcW w:w="1245" w:type="dxa"/>
            <w:tcBorders>
              <w:top w:val="nil"/>
              <w:left w:val="nil"/>
              <w:bottom w:val="single" w:sz="4" w:space="0" w:color="auto"/>
              <w:right w:val="single" w:sz="4" w:space="0" w:color="auto"/>
            </w:tcBorders>
            <w:vAlign w:val="center"/>
            <w:hideMark/>
          </w:tcPr>
          <w:p w14:paraId="5BCE251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20215</w:t>
            </w:r>
          </w:p>
        </w:tc>
        <w:tc>
          <w:tcPr>
            <w:tcW w:w="1245" w:type="dxa"/>
            <w:tcBorders>
              <w:top w:val="nil"/>
              <w:left w:val="nil"/>
              <w:bottom w:val="single" w:sz="4" w:space="0" w:color="auto"/>
              <w:right w:val="single" w:sz="4" w:space="0" w:color="auto"/>
            </w:tcBorders>
            <w:vAlign w:val="center"/>
            <w:hideMark/>
          </w:tcPr>
          <w:p w14:paraId="0E70B5F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16765</w:t>
            </w:r>
          </w:p>
        </w:tc>
      </w:tr>
      <w:tr w:rsidR="000C6E07" w:rsidRPr="000C6E07" w14:paraId="35B310D1"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03DAE93C" w14:textId="77777777" w:rsidR="000C6E07" w:rsidRPr="000C6E07" w:rsidRDefault="000C6E07" w:rsidP="000C6E07">
            <w:pPr>
              <w:spacing w:after="0"/>
              <w:jc w:val="both"/>
              <w:rPr>
                <w:sz w:val="20"/>
                <w:szCs w:val="20"/>
                <w:lang w:val="ro-RO"/>
              </w:rPr>
            </w:pPr>
            <w:r w:rsidRPr="000C6E07">
              <w:rPr>
                <w:sz w:val="20"/>
                <w:szCs w:val="20"/>
                <w:lang w:val="ro-RO"/>
              </w:rPr>
              <w:t>Total angajați IGP și IGC implicați</w:t>
            </w:r>
          </w:p>
        </w:tc>
        <w:tc>
          <w:tcPr>
            <w:tcW w:w="1245" w:type="dxa"/>
            <w:tcBorders>
              <w:top w:val="nil"/>
              <w:left w:val="nil"/>
              <w:bottom w:val="single" w:sz="4" w:space="0" w:color="auto"/>
              <w:right w:val="single" w:sz="4" w:space="0" w:color="auto"/>
            </w:tcBorders>
            <w:vAlign w:val="center"/>
            <w:hideMark/>
          </w:tcPr>
          <w:p w14:paraId="00326543" w14:textId="77777777" w:rsidR="000C6E07" w:rsidRPr="000C6E07" w:rsidRDefault="000C6E07" w:rsidP="000C6E07">
            <w:pPr>
              <w:spacing w:after="0"/>
              <w:jc w:val="center"/>
              <w:rPr>
                <w:sz w:val="20"/>
                <w:szCs w:val="20"/>
                <w:lang w:val="ro-RO"/>
              </w:rPr>
            </w:pPr>
            <w:r w:rsidRPr="000C6E07">
              <w:rPr>
                <w:sz w:val="20"/>
                <w:szCs w:val="20"/>
                <w:lang w:val="ro-RO"/>
              </w:rPr>
              <w:t>44077</w:t>
            </w:r>
          </w:p>
        </w:tc>
        <w:tc>
          <w:tcPr>
            <w:tcW w:w="1245" w:type="dxa"/>
            <w:tcBorders>
              <w:top w:val="nil"/>
              <w:left w:val="nil"/>
              <w:bottom w:val="single" w:sz="4" w:space="0" w:color="auto"/>
              <w:right w:val="single" w:sz="4" w:space="0" w:color="auto"/>
            </w:tcBorders>
            <w:vAlign w:val="center"/>
            <w:hideMark/>
          </w:tcPr>
          <w:p w14:paraId="2863733D" w14:textId="77777777" w:rsidR="000C6E07" w:rsidRPr="000C6E07" w:rsidRDefault="000C6E07" w:rsidP="000C6E07">
            <w:pPr>
              <w:spacing w:after="0"/>
              <w:jc w:val="center"/>
              <w:rPr>
                <w:sz w:val="20"/>
                <w:szCs w:val="20"/>
                <w:lang w:val="ro-RO"/>
              </w:rPr>
            </w:pPr>
            <w:r w:rsidRPr="000C6E07">
              <w:rPr>
                <w:sz w:val="20"/>
                <w:szCs w:val="20"/>
                <w:lang w:val="ro-RO"/>
              </w:rPr>
              <w:t>77698</w:t>
            </w:r>
          </w:p>
        </w:tc>
        <w:tc>
          <w:tcPr>
            <w:tcW w:w="1245" w:type="dxa"/>
            <w:tcBorders>
              <w:top w:val="nil"/>
              <w:left w:val="nil"/>
              <w:bottom w:val="single" w:sz="4" w:space="0" w:color="auto"/>
              <w:right w:val="single" w:sz="4" w:space="0" w:color="auto"/>
            </w:tcBorders>
            <w:vAlign w:val="center"/>
            <w:hideMark/>
          </w:tcPr>
          <w:p w14:paraId="0A48B1F9" w14:textId="77777777" w:rsidR="000C6E07" w:rsidRPr="000C6E07" w:rsidRDefault="000C6E07" w:rsidP="000C6E07">
            <w:pPr>
              <w:spacing w:after="0"/>
              <w:jc w:val="center"/>
              <w:rPr>
                <w:sz w:val="20"/>
                <w:szCs w:val="20"/>
                <w:lang w:val="ro-RO"/>
              </w:rPr>
            </w:pPr>
            <w:r w:rsidRPr="000C6E07">
              <w:rPr>
                <w:sz w:val="20"/>
                <w:szCs w:val="20"/>
                <w:lang w:val="ro-RO"/>
              </w:rPr>
              <w:t>85005</w:t>
            </w:r>
          </w:p>
        </w:tc>
        <w:tc>
          <w:tcPr>
            <w:tcW w:w="1245" w:type="dxa"/>
            <w:tcBorders>
              <w:top w:val="nil"/>
              <w:left w:val="nil"/>
              <w:bottom w:val="single" w:sz="4" w:space="0" w:color="auto"/>
              <w:right w:val="single" w:sz="4" w:space="0" w:color="auto"/>
            </w:tcBorders>
            <w:vAlign w:val="center"/>
            <w:hideMark/>
          </w:tcPr>
          <w:p w14:paraId="21E051E9" w14:textId="77777777" w:rsidR="000C6E07" w:rsidRPr="000C6E07" w:rsidRDefault="000C6E07" w:rsidP="000C6E07">
            <w:pPr>
              <w:spacing w:after="0"/>
              <w:jc w:val="center"/>
              <w:rPr>
                <w:sz w:val="20"/>
                <w:szCs w:val="20"/>
                <w:lang w:val="ro-RO"/>
              </w:rPr>
            </w:pPr>
            <w:r w:rsidRPr="000C6E07">
              <w:rPr>
                <w:sz w:val="20"/>
                <w:szCs w:val="20"/>
                <w:lang w:val="ro-RO"/>
              </w:rPr>
              <w:t>61145</w:t>
            </w:r>
          </w:p>
        </w:tc>
      </w:tr>
      <w:tr w:rsidR="000C6E07" w:rsidRPr="000C6E07" w14:paraId="689C5A02"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tcPr>
          <w:p w14:paraId="3198EC1B" w14:textId="77777777" w:rsidR="000C6E07" w:rsidRPr="000C6E07" w:rsidRDefault="000C6E07" w:rsidP="000C6E07">
            <w:pPr>
              <w:spacing w:after="0"/>
              <w:jc w:val="both"/>
              <w:rPr>
                <w:sz w:val="20"/>
                <w:szCs w:val="20"/>
                <w:lang w:val="ro-RO"/>
              </w:rPr>
            </w:pPr>
            <w:r w:rsidRPr="000C6E07">
              <w:rPr>
                <w:sz w:val="20"/>
                <w:szCs w:val="20"/>
                <w:lang w:val="ro-RO"/>
              </w:rPr>
              <w:t>Pondere angajați IGP implicați</w:t>
            </w:r>
          </w:p>
        </w:tc>
        <w:tc>
          <w:tcPr>
            <w:tcW w:w="1245" w:type="dxa"/>
            <w:tcBorders>
              <w:top w:val="nil"/>
              <w:left w:val="nil"/>
              <w:bottom w:val="single" w:sz="4" w:space="0" w:color="auto"/>
              <w:right w:val="single" w:sz="4" w:space="0" w:color="auto"/>
            </w:tcBorders>
            <w:vAlign w:val="bottom"/>
          </w:tcPr>
          <w:p w14:paraId="52A69AE7" w14:textId="77777777" w:rsidR="000C6E07" w:rsidRPr="000C6E07" w:rsidRDefault="000C6E07" w:rsidP="000C6E07">
            <w:pPr>
              <w:spacing w:after="0"/>
              <w:jc w:val="center"/>
              <w:rPr>
                <w:sz w:val="20"/>
                <w:szCs w:val="20"/>
                <w:lang w:val="ro-RO"/>
              </w:rPr>
            </w:pPr>
            <w:r w:rsidRPr="000C6E07">
              <w:rPr>
                <w:sz w:val="20"/>
                <w:szCs w:val="20"/>
                <w:lang w:val="ro-RO"/>
              </w:rPr>
              <w:t>85%</w:t>
            </w:r>
          </w:p>
        </w:tc>
        <w:tc>
          <w:tcPr>
            <w:tcW w:w="1245" w:type="dxa"/>
            <w:tcBorders>
              <w:top w:val="nil"/>
              <w:left w:val="nil"/>
              <w:bottom w:val="single" w:sz="4" w:space="0" w:color="auto"/>
              <w:right w:val="single" w:sz="4" w:space="0" w:color="auto"/>
            </w:tcBorders>
            <w:vAlign w:val="bottom"/>
          </w:tcPr>
          <w:p w14:paraId="5C917A9D" w14:textId="77777777" w:rsidR="000C6E07" w:rsidRPr="000C6E07" w:rsidRDefault="000C6E07" w:rsidP="000C6E07">
            <w:pPr>
              <w:spacing w:after="0"/>
              <w:jc w:val="center"/>
              <w:rPr>
                <w:sz w:val="20"/>
                <w:szCs w:val="20"/>
                <w:lang w:val="ro-RO"/>
              </w:rPr>
            </w:pPr>
            <w:r w:rsidRPr="000C6E07">
              <w:rPr>
                <w:sz w:val="20"/>
                <w:szCs w:val="20"/>
                <w:lang w:val="ro-RO"/>
              </w:rPr>
              <w:t>74%</w:t>
            </w:r>
          </w:p>
        </w:tc>
        <w:tc>
          <w:tcPr>
            <w:tcW w:w="1245" w:type="dxa"/>
            <w:tcBorders>
              <w:top w:val="nil"/>
              <w:left w:val="nil"/>
              <w:bottom w:val="single" w:sz="4" w:space="0" w:color="auto"/>
              <w:right w:val="single" w:sz="4" w:space="0" w:color="auto"/>
            </w:tcBorders>
            <w:vAlign w:val="bottom"/>
          </w:tcPr>
          <w:p w14:paraId="5419CC0D" w14:textId="77777777" w:rsidR="000C6E07" w:rsidRPr="000C6E07" w:rsidRDefault="000C6E07" w:rsidP="000C6E07">
            <w:pPr>
              <w:spacing w:after="0"/>
              <w:jc w:val="center"/>
              <w:rPr>
                <w:sz w:val="20"/>
                <w:szCs w:val="20"/>
                <w:lang w:val="ro-RO"/>
              </w:rPr>
            </w:pPr>
            <w:r w:rsidRPr="000C6E07">
              <w:rPr>
                <w:sz w:val="20"/>
                <w:szCs w:val="20"/>
                <w:lang w:val="ro-RO"/>
              </w:rPr>
              <w:t>76%</w:t>
            </w:r>
          </w:p>
        </w:tc>
        <w:tc>
          <w:tcPr>
            <w:tcW w:w="1245" w:type="dxa"/>
            <w:tcBorders>
              <w:top w:val="nil"/>
              <w:left w:val="nil"/>
              <w:bottom w:val="single" w:sz="4" w:space="0" w:color="auto"/>
              <w:right w:val="single" w:sz="4" w:space="0" w:color="auto"/>
            </w:tcBorders>
            <w:vAlign w:val="bottom"/>
          </w:tcPr>
          <w:p w14:paraId="7CB5E197" w14:textId="77777777" w:rsidR="000C6E07" w:rsidRPr="000C6E07" w:rsidRDefault="000C6E07" w:rsidP="000C6E07">
            <w:pPr>
              <w:spacing w:after="0"/>
              <w:jc w:val="center"/>
              <w:rPr>
                <w:sz w:val="20"/>
                <w:szCs w:val="20"/>
                <w:lang w:val="ro-RO"/>
              </w:rPr>
            </w:pPr>
            <w:r w:rsidRPr="000C6E07">
              <w:rPr>
                <w:sz w:val="20"/>
                <w:szCs w:val="20"/>
                <w:lang w:val="ro-RO"/>
              </w:rPr>
              <w:t>73%</w:t>
            </w:r>
          </w:p>
        </w:tc>
      </w:tr>
      <w:tr w:rsidR="000C6E07" w:rsidRPr="000C6E07" w14:paraId="13552DBE"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tcPr>
          <w:p w14:paraId="5135FE2E" w14:textId="77777777" w:rsidR="000C6E07" w:rsidRPr="000C6E07" w:rsidRDefault="000C6E07" w:rsidP="000C6E07">
            <w:pPr>
              <w:spacing w:after="0"/>
              <w:jc w:val="both"/>
              <w:rPr>
                <w:sz w:val="20"/>
                <w:szCs w:val="20"/>
                <w:lang w:val="ro-RO"/>
              </w:rPr>
            </w:pPr>
            <w:r w:rsidRPr="000C6E07">
              <w:rPr>
                <w:sz w:val="20"/>
                <w:szCs w:val="20"/>
                <w:lang w:val="ro-RO"/>
              </w:rPr>
              <w:t>Pondere angajați IGC implicați</w:t>
            </w:r>
          </w:p>
        </w:tc>
        <w:tc>
          <w:tcPr>
            <w:tcW w:w="1245" w:type="dxa"/>
            <w:tcBorders>
              <w:top w:val="nil"/>
              <w:left w:val="nil"/>
              <w:bottom w:val="single" w:sz="4" w:space="0" w:color="auto"/>
              <w:right w:val="single" w:sz="4" w:space="0" w:color="auto"/>
            </w:tcBorders>
            <w:vAlign w:val="bottom"/>
          </w:tcPr>
          <w:p w14:paraId="1F65036E" w14:textId="77777777" w:rsidR="000C6E07" w:rsidRPr="000C6E07" w:rsidRDefault="000C6E07" w:rsidP="000C6E07">
            <w:pPr>
              <w:spacing w:after="0"/>
              <w:jc w:val="center"/>
              <w:rPr>
                <w:sz w:val="20"/>
                <w:szCs w:val="20"/>
                <w:lang w:val="ro-RO"/>
              </w:rPr>
            </w:pPr>
            <w:r w:rsidRPr="000C6E07">
              <w:rPr>
                <w:sz w:val="20"/>
                <w:szCs w:val="20"/>
                <w:lang w:val="ro-RO"/>
              </w:rPr>
              <w:t>15%</w:t>
            </w:r>
          </w:p>
        </w:tc>
        <w:tc>
          <w:tcPr>
            <w:tcW w:w="1245" w:type="dxa"/>
            <w:tcBorders>
              <w:top w:val="nil"/>
              <w:left w:val="nil"/>
              <w:bottom w:val="single" w:sz="4" w:space="0" w:color="auto"/>
              <w:right w:val="single" w:sz="4" w:space="0" w:color="auto"/>
            </w:tcBorders>
            <w:vAlign w:val="bottom"/>
          </w:tcPr>
          <w:p w14:paraId="014148D7" w14:textId="77777777" w:rsidR="000C6E07" w:rsidRPr="000C6E07" w:rsidRDefault="000C6E07" w:rsidP="000C6E07">
            <w:pPr>
              <w:spacing w:after="0"/>
              <w:jc w:val="center"/>
              <w:rPr>
                <w:sz w:val="20"/>
                <w:szCs w:val="20"/>
                <w:lang w:val="ro-RO"/>
              </w:rPr>
            </w:pPr>
            <w:r w:rsidRPr="000C6E07">
              <w:rPr>
                <w:sz w:val="20"/>
                <w:szCs w:val="20"/>
                <w:lang w:val="ro-RO"/>
              </w:rPr>
              <w:t>26%</w:t>
            </w:r>
          </w:p>
        </w:tc>
        <w:tc>
          <w:tcPr>
            <w:tcW w:w="1245" w:type="dxa"/>
            <w:tcBorders>
              <w:top w:val="nil"/>
              <w:left w:val="nil"/>
              <w:bottom w:val="single" w:sz="4" w:space="0" w:color="auto"/>
              <w:right w:val="single" w:sz="4" w:space="0" w:color="auto"/>
            </w:tcBorders>
            <w:vAlign w:val="bottom"/>
          </w:tcPr>
          <w:p w14:paraId="40940439" w14:textId="77777777" w:rsidR="000C6E07" w:rsidRPr="000C6E07" w:rsidRDefault="000C6E07" w:rsidP="000C6E07">
            <w:pPr>
              <w:spacing w:after="0"/>
              <w:jc w:val="center"/>
              <w:rPr>
                <w:sz w:val="20"/>
                <w:szCs w:val="20"/>
                <w:lang w:val="ro-RO"/>
              </w:rPr>
            </w:pPr>
            <w:r w:rsidRPr="000C6E07">
              <w:rPr>
                <w:sz w:val="20"/>
                <w:szCs w:val="20"/>
                <w:lang w:val="ro-RO"/>
              </w:rPr>
              <w:t>24%</w:t>
            </w:r>
          </w:p>
        </w:tc>
        <w:tc>
          <w:tcPr>
            <w:tcW w:w="1245" w:type="dxa"/>
            <w:tcBorders>
              <w:top w:val="nil"/>
              <w:left w:val="nil"/>
              <w:bottom w:val="single" w:sz="4" w:space="0" w:color="auto"/>
              <w:right w:val="single" w:sz="4" w:space="0" w:color="auto"/>
            </w:tcBorders>
            <w:vAlign w:val="bottom"/>
          </w:tcPr>
          <w:p w14:paraId="0972C751" w14:textId="77777777" w:rsidR="000C6E07" w:rsidRPr="000C6E07" w:rsidRDefault="000C6E07" w:rsidP="000C6E07">
            <w:pPr>
              <w:spacing w:after="0"/>
              <w:jc w:val="center"/>
              <w:rPr>
                <w:sz w:val="20"/>
                <w:szCs w:val="20"/>
                <w:lang w:val="ro-RO"/>
              </w:rPr>
            </w:pPr>
            <w:r w:rsidRPr="000C6E07">
              <w:rPr>
                <w:sz w:val="20"/>
                <w:szCs w:val="20"/>
                <w:lang w:val="ro-RO"/>
              </w:rPr>
              <w:t>27%</w:t>
            </w:r>
          </w:p>
        </w:tc>
      </w:tr>
      <w:tr w:rsidR="000C6E07" w:rsidRPr="000C6E07" w14:paraId="6280A035" w14:textId="77777777" w:rsidTr="000C6E07">
        <w:trPr>
          <w:trHeight w:val="67"/>
          <w:jc w:val="center"/>
        </w:trPr>
        <w:tc>
          <w:tcPr>
            <w:tcW w:w="4253" w:type="dxa"/>
            <w:tcBorders>
              <w:top w:val="nil"/>
              <w:left w:val="single" w:sz="4" w:space="0" w:color="auto"/>
              <w:bottom w:val="single" w:sz="4" w:space="0" w:color="auto"/>
              <w:right w:val="single" w:sz="4" w:space="0" w:color="auto"/>
            </w:tcBorders>
            <w:vAlign w:val="center"/>
            <w:hideMark/>
          </w:tcPr>
          <w:p w14:paraId="45C89828" w14:textId="77777777" w:rsidR="000C6E07" w:rsidRPr="000C6E07" w:rsidRDefault="000C6E07" w:rsidP="000C6E07">
            <w:pPr>
              <w:spacing w:after="0"/>
              <w:rPr>
                <w:i/>
                <w:iCs/>
                <w:sz w:val="20"/>
                <w:szCs w:val="20"/>
                <w:lang w:val="ro-RO"/>
              </w:rPr>
            </w:pPr>
            <w:r w:rsidRPr="000C6E07">
              <w:rPr>
                <w:i/>
                <w:iCs/>
                <w:sz w:val="20"/>
                <w:szCs w:val="20"/>
                <w:lang w:val="ro-RO"/>
              </w:rPr>
              <w:t>Număr de angajați per eveniment</w:t>
            </w:r>
          </w:p>
        </w:tc>
        <w:tc>
          <w:tcPr>
            <w:tcW w:w="1245" w:type="dxa"/>
            <w:tcBorders>
              <w:top w:val="nil"/>
              <w:left w:val="nil"/>
              <w:bottom w:val="single" w:sz="4" w:space="0" w:color="auto"/>
              <w:right w:val="single" w:sz="4" w:space="0" w:color="auto"/>
            </w:tcBorders>
            <w:vAlign w:val="center"/>
            <w:hideMark/>
          </w:tcPr>
          <w:p w14:paraId="3B8210F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3,3</w:t>
            </w:r>
          </w:p>
        </w:tc>
        <w:tc>
          <w:tcPr>
            <w:tcW w:w="1245" w:type="dxa"/>
            <w:tcBorders>
              <w:top w:val="nil"/>
              <w:left w:val="nil"/>
              <w:bottom w:val="single" w:sz="4" w:space="0" w:color="auto"/>
              <w:right w:val="single" w:sz="4" w:space="0" w:color="auto"/>
            </w:tcBorders>
            <w:vAlign w:val="center"/>
            <w:hideMark/>
          </w:tcPr>
          <w:p w14:paraId="07D1DD2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5,2</w:t>
            </w:r>
          </w:p>
        </w:tc>
        <w:tc>
          <w:tcPr>
            <w:tcW w:w="1245" w:type="dxa"/>
            <w:tcBorders>
              <w:top w:val="nil"/>
              <w:left w:val="nil"/>
              <w:bottom w:val="single" w:sz="4" w:space="0" w:color="auto"/>
              <w:right w:val="single" w:sz="4" w:space="0" w:color="auto"/>
            </w:tcBorders>
            <w:vAlign w:val="center"/>
            <w:hideMark/>
          </w:tcPr>
          <w:p w14:paraId="191DD99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3,8</w:t>
            </w:r>
          </w:p>
        </w:tc>
        <w:tc>
          <w:tcPr>
            <w:tcW w:w="1245" w:type="dxa"/>
            <w:tcBorders>
              <w:top w:val="nil"/>
              <w:left w:val="nil"/>
              <w:bottom w:val="single" w:sz="4" w:space="0" w:color="auto"/>
              <w:right w:val="single" w:sz="4" w:space="0" w:color="auto"/>
            </w:tcBorders>
            <w:vAlign w:val="center"/>
            <w:hideMark/>
          </w:tcPr>
          <w:p w14:paraId="2931471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3,3</w:t>
            </w:r>
          </w:p>
        </w:tc>
      </w:tr>
      <w:tr w:rsidR="000C6E07" w:rsidRPr="000C6E07" w14:paraId="18D5470E" w14:textId="77777777" w:rsidTr="000C6E07">
        <w:trPr>
          <w:trHeight w:val="167"/>
          <w:jc w:val="center"/>
        </w:trPr>
        <w:tc>
          <w:tcPr>
            <w:tcW w:w="4253" w:type="dxa"/>
            <w:tcBorders>
              <w:top w:val="nil"/>
              <w:left w:val="single" w:sz="4" w:space="0" w:color="auto"/>
              <w:bottom w:val="single" w:sz="4" w:space="0" w:color="auto"/>
              <w:right w:val="single" w:sz="4" w:space="0" w:color="auto"/>
            </w:tcBorders>
            <w:vAlign w:val="center"/>
            <w:hideMark/>
          </w:tcPr>
          <w:p w14:paraId="7B8EF834" w14:textId="77777777" w:rsidR="000C6E07" w:rsidRPr="000C6E07" w:rsidRDefault="000C6E07" w:rsidP="000C6E07">
            <w:pPr>
              <w:spacing w:after="0"/>
              <w:rPr>
                <w:i/>
                <w:iCs/>
                <w:sz w:val="20"/>
                <w:szCs w:val="20"/>
                <w:lang w:val="ro-RO"/>
              </w:rPr>
            </w:pPr>
            <w:r w:rsidRPr="000C6E07">
              <w:rPr>
                <w:i/>
                <w:iCs/>
                <w:sz w:val="20"/>
                <w:szCs w:val="20"/>
                <w:lang w:val="ro-RO"/>
              </w:rPr>
              <w:t>Număr de participanți per eveniment</w:t>
            </w:r>
          </w:p>
        </w:tc>
        <w:tc>
          <w:tcPr>
            <w:tcW w:w="1245" w:type="dxa"/>
            <w:tcBorders>
              <w:top w:val="nil"/>
              <w:left w:val="nil"/>
              <w:bottom w:val="single" w:sz="4" w:space="0" w:color="auto"/>
              <w:right w:val="single" w:sz="4" w:space="0" w:color="auto"/>
            </w:tcBorders>
            <w:vAlign w:val="center"/>
            <w:hideMark/>
          </w:tcPr>
          <w:p w14:paraId="36D4D2C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197</w:t>
            </w:r>
          </w:p>
        </w:tc>
        <w:tc>
          <w:tcPr>
            <w:tcW w:w="1245" w:type="dxa"/>
            <w:tcBorders>
              <w:top w:val="nil"/>
              <w:left w:val="nil"/>
              <w:bottom w:val="single" w:sz="4" w:space="0" w:color="auto"/>
              <w:right w:val="single" w:sz="4" w:space="0" w:color="auto"/>
            </w:tcBorders>
            <w:vAlign w:val="center"/>
            <w:hideMark/>
          </w:tcPr>
          <w:p w14:paraId="1DA63DA9"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226</w:t>
            </w:r>
          </w:p>
        </w:tc>
        <w:tc>
          <w:tcPr>
            <w:tcW w:w="1245" w:type="dxa"/>
            <w:tcBorders>
              <w:top w:val="nil"/>
              <w:left w:val="nil"/>
              <w:bottom w:val="single" w:sz="4" w:space="0" w:color="auto"/>
              <w:right w:val="single" w:sz="4" w:space="0" w:color="auto"/>
            </w:tcBorders>
            <w:vAlign w:val="center"/>
            <w:hideMark/>
          </w:tcPr>
          <w:p w14:paraId="0D98466D"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255</w:t>
            </w:r>
          </w:p>
        </w:tc>
        <w:tc>
          <w:tcPr>
            <w:tcW w:w="1245" w:type="dxa"/>
            <w:tcBorders>
              <w:top w:val="nil"/>
              <w:left w:val="nil"/>
              <w:bottom w:val="single" w:sz="4" w:space="0" w:color="auto"/>
              <w:right w:val="single" w:sz="4" w:space="0" w:color="auto"/>
            </w:tcBorders>
            <w:vAlign w:val="center"/>
            <w:hideMark/>
          </w:tcPr>
          <w:p w14:paraId="25D288C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343</w:t>
            </w:r>
          </w:p>
        </w:tc>
      </w:tr>
      <w:tr w:rsidR="000C6E07" w:rsidRPr="000C6E07" w14:paraId="2DEBF8A2" w14:textId="77777777" w:rsidTr="000C6E07">
        <w:trPr>
          <w:trHeight w:val="290"/>
          <w:jc w:val="center"/>
        </w:trPr>
        <w:tc>
          <w:tcPr>
            <w:tcW w:w="4253" w:type="dxa"/>
            <w:tcBorders>
              <w:top w:val="nil"/>
              <w:left w:val="single" w:sz="4" w:space="0" w:color="auto"/>
              <w:bottom w:val="single" w:sz="4" w:space="0" w:color="auto"/>
              <w:right w:val="single" w:sz="4" w:space="0" w:color="auto"/>
            </w:tcBorders>
            <w:vAlign w:val="center"/>
            <w:hideMark/>
          </w:tcPr>
          <w:p w14:paraId="4913AFFD" w14:textId="77777777" w:rsidR="000C6E07" w:rsidRPr="000C6E07" w:rsidRDefault="000C6E07" w:rsidP="000C6E07">
            <w:pPr>
              <w:spacing w:after="0"/>
              <w:rPr>
                <w:i/>
                <w:iCs/>
                <w:sz w:val="20"/>
                <w:szCs w:val="20"/>
                <w:lang w:val="ro-RO"/>
              </w:rPr>
            </w:pPr>
            <w:r w:rsidRPr="000C6E07">
              <w:rPr>
                <w:i/>
                <w:iCs/>
                <w:sz w:val="20"/>
                <w:szCs w:val="20"/>
                <w:lang w:val="ro-RO"/>
              </w:rPr>
              <w:t>Număr de participanți per angajat</w:t>
            </w:r>
          </w:p>
        </w:tc>
        <w:tc>
          <w:tcPr>
            <w:tcW w:w="1245" w:type="dxa"/>
            <w:tcBorders>
              <w:top w:val="nil"/>
              <w:left w:val="nil"/>
              <w:bottom w:val="single" w:sz="4" w:space="0" w:color="auto"/>
              <w:right w:val="single" w:sz="4" w:space="0" w:color="auto"/>
            </w:tcBorders>
            <w:vAlign w:val="center"/>
            <w:hideMark/>
          </w:tcPr>
          <w:p w14:paraId="135356D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59</w:t>
            </w:r>
          </w:p>
        </w:tc>
        <w:tc>
          <w:tcPr>
            <w:tcW w:w="1245" w:type="dxa"/>
            <w:tcBorders>
              <w:top w:val="nil"/>
              <w:left w:val="nil"/>
              <w:bottom w:val="single" w:sz="4" w:space="0" w:color="auto"/>
              <w:right w:val="single" w:sz="4" w:space="0" w:color="auto"/>
            </w:tcBorders>
            <w:vAlign w:val="center"/>
            <w:hideMark/>
          </w:tcPr>
          <w:p w14:paraId="7F36B54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43</w:t>
            </w:r>
          </w:p>
        </w:tc>
        <w:tc>
          <w:tcPr>
            <w:tcW w:w="1245" w:type="dxa"/>
            <w:tcBorders>
              <w:top w:val="nil"/>
              <w:left w:val="nil"/>
              <w:bottom w:val="single" w:sz="4" w:space="0" w:color="auto"/>
              <w:right w:val="single" w:sz="4" w:space="0" w:color="auto"/>
            </w:tcBorders>
            <w:vAlign w:val="center"/>
            <w:hideMark/>
          </w:tcPr>
          <w:p w14:paraId="70D5D38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67</w:t>
            </w:r>
          </w:p>
        </w:tc>
        <w:tc>
          <w:tcPr>
            <w:tcW w:w="1245" w:type="dxa"/>
            <w:tcBorders>
              <w:top w:val="nil"/>
              <w:left w:val="nil"/>
              <w:bottom w:val="single" w:sz="4" w:space="0" w:color="auto"/>
              <w:right w:val="single" w:sz="4" w:space="0" w:color="auto"/>
            </w:tcBorders>
            <w:vAlign w:val="center"/>
            <w:hideMark/>
          </w:tcPr>
          <w:p w14:paraId="56203DB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104</w:t>
            </w:r>
          </w:p>
        </w:tc>
      </w:tr>
    </w:tbl>
    <w:p w14:paraId="50AE3B50" w14:textId="77777777" w:rsidR="000C6E07" w:rsidRPr="000C6E07" w:rsidRDefault="000C6E07" w:rsidP="000C6E07">
      <w:pPr>
        <w:pStyle w:val="Normal3"/>
        <w:spacing w:before="0" w:beforeAutospacing="0" w:after="120" w:line="240" w:lineRule="auto"/>
        <w:ind w:firstLine="539"/>
        <w:jc w:val="center"/>
        <w:rPr>
          <w:rFonts w:ascii="Times New Roman" w:hAnsi="Times New Roman"/>
          <w:i/>
          <w:sz w:val="24"/>
          <w:szCs w:val="24"/>
          <w:lang w:val="ro-RO"/>
        </w:rPr>
      </w:pPr>
      <w:r w:rsidRPr="000C6E07">
        <w:rPr>
          <w:rFonts w:ascii="Times New Roman" w:hAnsi="Times New Roman"/>
          <w:b/>
          <w:sz w:val="24"/>
          <w:szCs w:val="24"/>
          <w:lang w:val="ro-RO"/>
        </w:rPr>
        <w:t>Sursa:</w:t>
      </w:r>
      <w:r w:rsidRPr="000C6E07">
        <w:rPr>
          <w:rFonts w:ascii="Times New Roman" w:hAnsi="Times New Roman"/>
          <w:i/>
          <w:sz w:val="24"/>
          <w:szCs w:val="24"/>
          <w:lang w:val="ro-RO"/>
        </w:rPr>
        <w:t xml:space="preserve"> Inspectoratul General al Poliției/Inspectoratul General de Carabinieri</w:t>
      </w:r>
    </w:p>
    <w:p w14:paraId="47264B72" w14:textId="77777777" w:rsidR="000C6E07" w:rsidRPr="000C6E07" w:rsidRDefault="000C6E07" w:rsidP="000C6E07">
      <w:pPr>
        <w:spacing w:after="0"/>
        <w:ind w:firstLine="540"/>
        <w:jc w:val="both"/>
        <w:rPr>
          <w:sz w:val="24"/>
          <w:szCs w:val="24"/>
          <w:lang w:val="ro-RO"/>
        </w:rPr>
      </w:pPr>
      <w:r w:rsidRPr="000C6E07">
        <w:rPr>
          <w:sz w:val="24"/>
          <w:szCs w:val="24"/>
          <w:lang w:val="ro-RO"/>
        </w:rPr>
        <w:t>Evenimentele publice cuprind o gamă largă de manifestări, de la cele comerciale, culturale, religioase sau sportive, până la întruniri publice ca formă de exercitare a dreptului la libertatea de întrunire pașnică, inclusiv în context electoral. Indiferent de natura acestora, toate necesită o implicare activă și bine coordonată din partea structurilor de ordine și securitate publică, în vederea asigurării bunei desfășurări a evenimentelor și a protejării drepturilor legitime ale populației.</w:t>
      </w:r>
    </w:p>
    <w:p w14:paraId="23293706" w14:textId="77777777" w:rsidR="000C6E07" w:rsidRPr="000C6E07" w:rsidRDefault="000C6E07" w:rsidP="000C6E07">
      <w:pPr>
        <w:spacing w:after="0"/>
        <w:ind w:firstLine="540"/>
        <w:jc w:val="both"/>
        <w:rPr>
          <w:sz w:val="24"/>
          <w:szCs w:val="24"/>
          <w:lang w:val="ro-RO"/>
        </w:rPr>
      </w:pPr>
      <w:r w:rsidRPr="000C6E07">
        <w:rPr>
          <w:sz w:val="24"/>
          <w:szCs w:val="24"/>
          <w:lang w:val="ro-RO"/>
        </w:rPr>
        <w:t>În mod particular, întrunirile publice organizate pe subiecte cu grad ridicat de sensibilitate socială implică riscuri specifice pentru siguranța participanților și pentru menținerea ordinii publice. Astfel de evenimente pot deveni vulnerabile la acte de provocare, contramanifestații ostile sau intervenții disproporționate din partea autorităților, ceea ce poate duce la limitarea nejustificată a libertății de întrunire și exprimare.</w:t>
      </w:r>
    </w:p>
    <w:p w14:paraId="7F309627"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Aglomerațiile mari de persoane, indiferent de tipul evenimentului, constituie un factor de amplificare a riscurilor și amenințărilor. Acestea se pot manifesta prin contravenții și infracțiuni patrimoniale (furturi, distrugeri), amenințări la adresa siguranței fizice a participanților, dar și prin riscuri mai generale pentru ordinea publică, cum ar fi violențele fizice sau comportamentele agresive, în special în contextul evenimentelor sportive de tip fotbalistic. De asemenea, întrunirile cu mize sociale sau politice crescute </w:t>
      </w:r>
      <w:r w:rsidRPr="000C6E07">
        <w:rPr>
          <w:sz w:val="24"/>
          <w:szCs w:val="24"/>
          <w:lang w:val="ro-RO"/>
        </w:rPr>
        <w:lastRenderedPageBreak/>
        <w:t>rămân expuse riscului de escaladare în acțiuni violente, ce pot viza atât participanții pașnici, cât și bunurile publice și private.</w:t>
      </w:r>
    </w:p>
    <w:p w14:paraId="05FD401F" w14:textId="77777777" w:rsidR="000C6E07" w:rsidRPr="000C6E07" w:rsidRDefault="000C6E07" w:rsidP="000C6E07">
      <w:pPr>
        <w:spacing w:after="0"/>
        <w:ind w:firstLine="540"/>
        <w:jc w:val="both"/>
        <w:rPr>
          <w:sz w:val="24"/>
          <w:szCs w:val="24"/>
          <w:lang w:val="ro-RO"/>
        </w:rPr>
      </w:pPr>
      <w:r w:rsidRPr="000C6E07">
        <w:rPr>
          <w:sz w:val="24"/>
          <w:szCs w:val="24"/>
          <w:lang w:val="ro-RO"/>
        </w:rPr>
        <w:t>În acest context, este esențial ca instituțiile responsabile de menținerea ordinii publice să aplice standarde clare de protejare a drepturilor fundamentale, intervenind proporțional și nediscriminatoriu, și să fie capabile să prevină și să gestioneze eficient eventualele incidente, fără a compromite exercițiul libertăților civile.</w:t>
      </w:r>
    </w:p>
    <w:p w14:paraId="5F9192BE" w14:textId="1BF79465" w:rsidR="000C6E07" w:rsidRPr="000C6E07" w:rsidRDefault="000C6E07" w:rsidP="000C6E07">
      <w:pPr>
        <w:spacing w:after="0"/>
        <w:ind w:firstLine="540"/>
        <w:jc w:val="both"/>
        <w:rPr>
          <w:sz w:val="24"/>
          <w:szCs w:val="24"/>
          <w:lang w:val="ro-RO"/>
        </w:rPr>
      </w:pPr>
      <w:r w:rsidRPr="00B63119">
        <w:rPr>
          <w:sz w:val="24"/>
          <w:szCs w:val="24"/>
          <w:lang w:val="ro-RO"/>
        </w:rPr>
        <w:t xml:space="preserve">Raportul </w:t>
      </w:r>
      <w:r w:rsidR="00B63119" w:rsidRPr="00B63119">
        <w:rPr>
          <w:sz w:val="24"/>
          <w:szCs w:val="24"/>
          <w:lang w:val="ro-RO"/>
        </w:rPr>
        <w:t xml:space="preserve">Centrului parteneriat pentru Dezvoltare </w:t>
      </w:r>
      <w:r w:rsidRPr="000C6E07">
        <w:rPr>
          <w:sz w:val="24"/>
          <w:szCs w:val="24"/>
          <w:lang w:val="ro-RO"/>
        </w:rPr>
        <w:t xml:space="preserve">și </w:t>
      </w:r>
      <w:proofErr w:type="spellStart"/>
      <w:r w:rsidRPr="000C6E07">
        <w:rPr>
          <w:sz w:val="24"/>
          <w:szCs w:val="24"/>
          <w:lang w:val="ro-RO"/>
        </w:rPr>
        <w:t>Promo</w:t>
      </w:r>
      <w:proofErr w:type="spellEnd"/>
      <w:r w:rsidRPr="000C6E07">
        <w:rPr>
          <w:sz w:val="24"/>
          <w:szCs w:val="24"/>
          <w:lang w:val="ro-RO"/>
        </w:rPr>
        <w:t>-LEX privind libertatea întrunirilor 2024</w:t>
      </w:r>
      <w:r w:rsidRPr="000C6E07">
        <w:rPr>
          <w:rStyle w:val="aff3"/>
          <w:sz w:val="24"/>
          <w:szCs w:val="24"/>
          <w:lang w:val="ro-RO"/>
        </w:rPr>
        <w:footnoteReference w:id="13"/>
      </w:r>
      <w:r w:rsidRPr="000C6E07">
        <w:rPr>
          <w:sz w:val="24"/>
          <w:szCs w:val="24"/>
          <w:lang w:val="ro-RO"/>
        </w:rPr>
        <w:t xml:space="preserve"> menționează că, în perioada monitorizată, </w:t>
      </w:r>
      <w:r w:rsidRPr="000C6E07">
        <w:rPr>
          <w:b/>
          <w:sz w:val="24"/>
          <w:szCs w:val="24"/>
          <w:lang w:val="ro-RO"/>
        </w:rPr>
        <w:t>în ansamblu, măsurile de securitate aplicate de forțele de ordine au fost proporționale cu natura întrunirilor și cu riscurile asociate.</w:t>
      </w:r>
      <w:r w:rsidRPr="000C6E07">
        <w:rPr>
          <w:sz w:val="24"/>
          <w:szCs w:val="24"/>
          <w:lang w:val="ro-RO"/>
        </w:rPr>
        <w:t xml:space="preserve"> Este apreciat în mod special efortul carabinierilor și poliției de a facilita desfășurarea marșului </w:t>
      </w:r>
      <w:proofErr w:type="spellStart"/>
      <w:r w:rsidRPr="000C6E07">
        <w:rPr>
          <w:sz w:val="24"/>
          <w:szCs w:val="24"/>
          <w:lang w:val="ro-RO"/>
        </w:rPr>
        <w:t>Pride</w:t>
      </w:r>
      <w:proofErr w:type="spellEnd"/>
      <w:r w:rsidRPr="000C6E07">
        <w:rPr>
          <w:sz w:val="24"/>
          <w:szCs w:val="24"/>
          <w:lang w:val="ro-RO"/>
        </w:rPr>
        <w:t xml:space="preserve"> fără incidente, fapt confirmat și de evaluările organizatorilor și de </w:t>
      </w:r>
      <w:r w:rsidRPr="00B63119">
        <w:rPr>
          <w:bCs/>
          <w:sz w:val="24"/>
          <w:szCs w:val="24"/>
          <w:lang w:val="ro-RO"/>
        </w:rPr>
        <w:t>Raportul</w:t>
      </w:r>
      <w:r w:rsidR="00B63119" w:rsidRPr="00B63119">
        <w:rPr>
          <w:sz w:val="24"/>
          <w:szCs w:val="24"/>
          <w:lang w:val="ro-RO"/>
        </w:rPr>
        <w:t xml:space="preserve"> </w:t>
      </w:r>
      <w:r w:rsidR="00B63119" w:rsidRPr="00B63119">
        <w:rPr>
          <w:bCs/>
          <w:sz w:val="24"/>
          <w:szCs w:val="24"/>
          <w:lang w:val="ro-RO"/>
        </w:rPr>
        <w:t>Comisiei Europene împotriva Rasismului și Intoleranței (</w:t>
      </w:r>
      <w:r w:rsidRPr="00B63119">
        <w:rPr>
          <w:bCs/>
          <w:sz w:val="24"/>
          <w:szCs w:val="24"/>
          <w:lang w:val="ro-RO"/>
        </w:rPr>
        <w:t>ECRI</w:t>
      </w:r>
      <w:r w:rsidR="00B63119" w:rsidRPr="00B63119">
        <w:rPr>
          <w:bCs/>
          <w:sz w:val="24"/>
          <w:szCs w:val="24"/>
          <w:lang w:val="ro-RO"/>
        </w:rPr>
        <w:t>)</w:t>
      </w:r>
      <w:r w:rsidRPr="00B63119">
        <w:rPr>
          <w:rStyle w:val="aff3"/>
          <w:sz w:val="24"/>
          <w:szCs w:val="24"/>
          <w:lang w:val="ro-RO"/>
        </w:rPr>
        <w:footnoteReference w:id="14"/>
      </w:r>
      <w:r w:rsidRPr="000C6E07">
        <w:rPr>
          <w:bCs/>
          <w:sz w:val="24"/>
          <w:szCs w:val="24"/>
          <w:lang w:val="ro-RO"/>
        </w:rPr>
        <w:t xml:space="preserve"> cu</w:t>
      </w:r>
      <w:r w:rsidRPr="000C6E07">
        <w:rPr>
          <w:sz w:val="24"/>
          <w:szCs w:val="24"/>
          <w:lang w:val="ro-RO"/>
        </w:rPr>
        <w:t xml:space="preserve"> apreciere pentru profesionalismul poliției. Totuși, monitorii constată că </w:t>
      </w:r>
      <w:r w:rsidRPr="000C6E07">
        <w:rPr>
          <w:b/>
          <w:sz w:val="24"/>
          <w:szCs w:val="24"/>
          <w:lang w:val="ro-RO"/>
        </w:rPr>
        <w:t xml:space="preserve">uneori instituțiile de ordine publică intervin disproporționat și nejustificat la evenimentele publice, inclusiv prin </w:t>
      </w:r>
      <w:r w:rsidRPr="000C6E07">
        <w:rPr>
          <w:b/>
          <w:sz w:val="24"/>
          <w:szCs w:val="24"/>
          <w:lang w:val="ro-RO" w:eastAsia="ro-RO"/>
        </w:rPr>
        <w:t xml:space="preserve">aplicare excesivă a forței sau mijloace speciale. </w:t>
      </w:r>
      <w:r w:rsidRPr="000C6E07">
        <w:rPr>
          <w:sz w:val="24"/>
          <w:szCs w:val="24"/>
          <w:lang w:val="ro-RO"/>
        </w:rPr>
        <w:t xml:space="preserve">CPR și </w:t>
      </w:r>
      <w:proofErr w:type="spellStart"/>
      <w:r w:rsidRPr="000C6E07">
        <w:rPr>
          <w:sz w:val="24"/>
          <w:szCs w:val="24"/>
          <w:lang w:val="ro-RO"/>
        </w:rPr>
        <w:t>Promo</w:t>
      </w:r>
      <w:proofErr w:type="spellEnd"/>
      <w:r w:rsidRPr="000C6E07">
        <w:rPr>
          <w:sz w:val="24"/>
          <w:szCs w:val="24"/>
          <w:lang w:val="ro-RO"/>
        </w:rPr>
        <w:t>-LEX</w:t>
      </w:r>
      <w:r w:rsidRPr="000C6E07">
        <w:rPr>
          <w:rStyle w:val="aff3"/>
          <w:sz w:val="24"/>
          <w:szCs w:val="24"/>
          <w:lang w:val="ro-RO"/>
        </w:rPr>
        <w:footnoteReference w:id="15"/>
      </w:r>
      <w:r w:rsidRPr="000C6E07">
        <w:rPr>
          <w:sz w:val="24"/>
          <w:szCs w:val="24"/>
          <w:lang w:val="ro-RO"/>
        </w:rPr>
        <w:t xml:space="preserve"> atrag atenția asupra unor cazuri punctuale din 2024 în care intervenția forțelor de ordine a fost excesivă sau nejustificată, conducând chiar la întreruperea întrunirii sau dispersarea participanților fără un temei clar. Autorii sugerează drept cauze ale acestor intervenții proceduri operaționale deficiente sau un lanț de comandă nealiniat complet la respectarea drepturilor fundamentale. Și Oficiul Avocatului Poporului (OAP) a constatat că, polițiștii au intervenit disproporționat pentru descurajarea organizatorilor și a participanților la unele proteste.</w:t>
      </w:r>
      <w:r w:rsidRPr="000C6E07">
        <w:rPr>
          <w:bCs/>
          <w:sz w:val="24"/>
          <w:szCs w:val="24"/>
          <w:vertAlign w:val="superscript"/>
          <w:lang w:val="ro-RO" w:eastAsia="ro-RO"/>
        </w:rPr>
        <w:footnoteReference w:id="16"/>
      </w:r>
      <w:r w:rsidRPr="000C6E07">
        <w:rPr>
          <w:sz w:val="24"/>
          <w:szCs w:val="24"/>
          <w:lang w:val="ro-RO"/>
        </w:rPr>
        <w:t xml:space="preserve"> Aceste practici mai pot fi cauzate, de nivelul insuficient de pregătire al angajaților implicați în misiune, de cunoașterea deficitară a legislației aplicabile și de capacitățile limitate ale instituției în formarea personalului, care nu corespund cerințelor specifice intervenției în contextul evenimentelor publice.</w:t>
      </w:r>
    </w:p>
    <w:p w14:paraId="6EB766AD"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Raportul CPR </w:t>
      </w:r>
      <w:proofErr w:type="spellStart"/>
      <w:r w:rsidRPr="000C6E07">
        <w:rPr>
          <w:sz w:val="24"/>
          <w:szCs w:val="24"/>
          <w:lang w:val="ro-RO"/>
        </w:rPr>
        <w:t>Promo</w:t>
      </w:r>
      <w:proofErr w:type="spellEnd"/>
      <w:r w:rsidRPr="000C6E07">
        <w:rPr>
          <w:sz w:val="24"/>
          <w:szCs w:val="24"/>
          <w:lang w:val="ro-RO"/>
        </w:rPr>
        <w:t>-LEX mai semnalează utilizarea excesivă și problematică a articolului 67 din Codul Contravențional pentru sancționarea participanților la întruniri, întrucât în 72% dintre cazuri instanțele au respins sancțiunile aplicate de poliție ca nefondate. Doar în 28% din cazuri a fost confirmată contravenția, ceea ce indică o aplicare abuzivă sau arbitrară a legii, contrar principiilor statului de drept.</w:t>
      </w:r>
    </w:p>
    <w:p w14:paraId="0CEAEB05" w14:textId="36A42372" w:rsidR="000C6E07" w:rsidRDefault="000C6E07" w:rsidP="000C6E07">
      <w:pPr>
        <w:spacing w:after="0"/>
        <w:ind w:firstLine="540"/>
        <w:jc w:val="both"/>
        <w:rPr>
          <w:sz w:val="24"/>
          <w:szCs w:val="24"/>
          <w:lang w:val="ro-RO"/>
        </w:rPr>
      </w:pPr>
      <w:r w:rsidRPr="000C6E07">
        <w:rPr>
          <w:rFonts w:cs="Calibri"/>
          <w:b/>
          <w:sz w:val="24"/>
          <w:szCs w:val="24"/>
          <w:lang w:val="ro-RO"/>
        </w:rPr>
        <w:t>Cadrul normativ privind evenimentele publice este incomplet și generează dificultăți în activitatea structurilor de ordine și securitate publică.</w:t>
      </w:r>
      <w:r w:rsidRPr="000C6E07">
        <w:rPr>
          <w:rFonts w:cs="Calibri"/>
          <w:sz w:val="24"/>
          <w:szCs w:val="24"/>
          <w:lang w:val="ro-RO"/>
        </w:rPr>
        <w:t xml:space="preserve"> Opinia urgentă a OSCE (ODIHR) cu privire la Legea 26/2008, emisă la solicitarea IGP, a specificat că legea ar putea beneficia de protecție suplimentară a drepturilor și libertăților și de garanții suplimentare împotriva abuzurilor din partea instituțiilor publice, inclusiv condiții stricte în care autoritățile pot solicita ca măsură de ultim resort, sistarea sau dispersarea unei întruniri, excluderea explicită a întrunirilor spontane de la cerințele de notificare prealabilă, completarea dispozițiilor explicite privind colectarea și prelucrarea datelor cu caracter personal. Potrivit raportului de evaluare elaborat de MAI în 2023, Legea nr. 26/2008 privind întrunirile corespunde, recomandărilor organismelor internaționale din domeniul protecției drepturilor omului, inclusiv cu Comentariul general nr. 37 al Comitetului ONU pentru Drepturile Omului privind articolul 21 din Pactul internațional privind drepturile civile și politice. Din acest considerent MAI nu a identificat premise pentru operarea modificărilor la acest act normativ.</w:t>
      </w:r>
      <w:r w:rsidRPr="000C6E07">
        <w:rPr>
          <w:rStyle w:val="aff3"/>
          <w:rFonts w:cs="Calibri"/>
          <w:sz w:val="24"/>
          <w:szCs w:val="24"/>
          <w:lang w:val="ro-RO"/>
        </w:rPr>
        <w:footnoteReference w:id="17"/>
      </w:r>
      <w:r w:rsidRPr="000C6E07">
        <w:rPr>
          <w:rFonts w:cs="Calibri"/>
          <w:sz w:val="24"/>
          <w:szCs w:val="24"/>
          <w:lang w:val="ro-RO"/>
        </w:rPr>
        <w:t xml:space="preserve"> Totuși, raportul evidențiază necesitatea unui act normativ distinct care să reglementeze evenimentele ce</w:t>
      </w:r>
      <w:r w:rsidRPr="000C6E07">
        <w:rPr>
          <w:sz w:val="24"/>
          <w:szCs w:val="24"/>
          <w:lang w:val="ro-RO"/>
        </w:rPr>
        <w:t xml:space="preserve"> nu cad sub incidența Legii nr. 26/2008 </w:t>
      </w:r>
      <w:r w:rsidRPr="000C6E07">
        <w:rPr>
          <w:rFonts w:cs="Calibri"/>
          <w:sz w:val="24"/>
          <w:szCs w:val="24"/>
          <w:lang w:val="ro-RO"/>
        </w:rPr>
        <w:t>– cum ar fi manifestările religioase, culturale, sportive, electorale, de divertisment sau comerciale.</w:t>
      </w:r>
      <w:r w:rsidRPr="000C6E07">
        <w:rPr>
          <w:sz w:val="24"/>
          <w:szCs w:val="24"/>
          <w:lang w:val="ro-RO"/>
        </w:rPr>
        <w:t xml:space="preserve"> În acest sens, în 2025 MAI a consultat public un proiect de lege privind evenimentele publice, dar care nu a fost definitivat încă.</w:t>
      </w:r>
    </w:p>
    <w:p w14:paraId="51F09F0F" w14:textId="77777777" w:rsidR="003679EA" w:rsidRDefault="003679EA" w:rsidP="000C6E07">
      <w:pPr>
        <w:spacing w:after="0"/>
        <w:ind w:firstLine="540"/>
        <w:jc w:val="both"/>
        <w:rPr>
          <w:sz w:val="24"/>
          <w:szCs w:val="24"/>
          <w:lang w:val="ro-RO"/>
        </w:rPr>
      </w:pPr>
    </w:p>
    <w:p w14:paraId="15A8ADAF" w14:textId="77777777" w:rsidR="00707A90" w:rsidRPr="000C6E07" w:rsidRDefault="00707A90" w:rsidP="000C6E07">
      <w:pPr>
        <w:spacing w:after="0"/>
        <w:ind w:firstLine="540"/>
        <w:jc w:val="both"/>
        <w:rPr>
          <w:sz w:val="24"/>
          <w:szCs w:val="24"/>
          <w:lang w:val="ro-RO"/>
        </w:rPr>
      </w:pPr>
    </w:p>
    <w:p w14:paraId="2B46CF26" w14:textId="77777777" w:rsidR="000C6E07" w:rsidRPr="000C6E07" w:rsidRDefault="000C6E07" w:rsidP="000C6E07">
      <w:pPr>
        <w:spacing w:after="0"/>
        <w:ind w:firstLine="540"/>
        <w:jc w:val="center"/>
        <w:rPr>
          <w:sz w:val="24"/>
          <w:szCs w:val="24"/>
          <w:lang w:val="ro-RO"/>
        </w:rPr>
      </w:pPr>
      <w:r w:rsidRPr="000C6E07">
        <w:rPr>
          <w:b/>
          <w:bCs/>
          <w:sz w:val="24"/>
          <w:szCs w:val="24"/>
          <w:lang w:val="ro-RO"/>
        </w:rPr>
        <w:lastRenderedPageBreak/>
        <w:t>Deficiențele serviciilor de OSP la evenimentele publice</w:t>
      </w:r>
    </w:p>
    <w:p w14:paraId="56859E59" w14:textId="148D553A" w:rsidR="000C6E07" w:rsidRPr="000C6E07" w:rsidRDefault="000C6E07" w:rsidP="000C6E07">
      <w:pPr>
        <w:spacing w:after="0"/>
        <w:ind w:firstLine="540"/>
        <w:jc w:val="both"/>
        <w:rPr>
          <w:sz w:val="24"/>
          <w:szCs w:val="24"/>
          <w:lang w:val="ro-RO"/>
        </w:rPr>
      </w:pPr>
      <w:r w:rsidRPr="000C6E07">
        <w:rPr>
          <w:sz w:val="24"/>
          <w:szCs w:val="24"/>
          <w:lang w:val="ro-RO"/>
        </w:rPr>
        <w:t xml:space="preserve">În contextul reorganizării IGP prin crearea a trei direcții regionale și două teritoriale, precum și al elaborării unui nou concept de separare a responsabilităților între IGP și IGC în domeniul ordinii publice, </w:t>
      </w:r>
      <w:r w:rsidRPr="000C6E07">
        <w:rPr>
          <w:b/>
          <w:sz w:val="24"/>
          <w:szCs w:val="24"/>
          <w:lang w:val="ro-RO"/>
        </w:rPr>
        <w:t>persistă disfuncționalități sistemice care afectează eficiența intervențiilor la evenimentele publice</w:t>
      </w:r>
      <w:r w:rsidRPr="000C6E07">
        <w:rPr>
          <w:sz w:val="24"/>
          <w:szCs w:val="24"/>
          <w:lang w:val="ro-RO"/>
        </w:rPr>
        <w:t xml:space="preserve">. INSP, IGC și IMO dispun de un spectru larg de instrumente de la analiză, planificare, prevenire și reacționare, dar aplicarea coerentă a acestora este limitată de dificultăți de coordonare și interoperabilitate, precum și standarde operaționale neuniforme. Delimitarea atribuțiilor între </w:t>
      </w:r>
      <w:r w:rsidR="007F4FE2">
        <w:rPr>
          <w:sz w:val="24"/>
          <w:szCs w:val="24"/>
          <w:lang w:val="ro-RO"/>
        </w:rPr>
        <w:t>P</w:t>
      </w:r>
      <w:r w:rsidRPr="000C6E07">
        <w:rPr>
          <w:sz w:val="24"/>
          <w:szCs w:val="24"/>
          <w:lang w:val="ro-RO"/>
        </w:rPr>
        <w:t xml:space="preserve">oliție și carabinieri, va avea în vedere depășirea problemelor legate de proceduri divergente, diferențe în nivelul de pregătire și echipare, sisteme informaționale diferite și lipsa unei culturi organizaționale comune. </w:t>
      </w:r>
    </w:p>
    <w:p w14:paraId="5F18A95A"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Totodată, </w:t>
      </w:r>
      <w:r w:rsidRPr="000C6E07">
        <w:rPr>
          <w:b/>
          <w:sz w:val="24"/>
          <w:szCs w:val="24"/>
          <w:lang w:val="ro-RO"/>
        </w:rPr>
        <w:t>procedurile standard de operare (PSO) pentru intervențiile la evenimente publice rămân necoordonate între structurile MAI</w:t>
      </w:r>
      <w:r w:rsidRPr="000C6E07">
        <w:rPr>
          <w:sz w:val="24"/>
          <w:szCs w:val="24"/>
          <w:lang w:val="ro-RO"/>
        </w:rPr>
        <w:t>. Multe procese nu sunt acoperite de PSO sau, acolo unde acestea există, nu sunt aliniate la principiile respectării drepturilor omului. Deși există inițiative de uniformizare a PSO în domeniul patrulării și reacționării, noul cadru conceptual va necesita o revizuire amplă și coerentă a proceselor și procedurilor</w:t>
      </w:r>
      <w:r w:rsidRPr="000C6E07">
        <w:rPr>
          <w:sz w:val="24"/>
          <w:szCs w:val="24"/>
          <w:lang w:val="ro-RO" w:eastAsia="ro-RO"/>
        </w:rPr>
        <w:t xml:space="preserve"> la evenimente publice</w:t>
      </w:r>
      <w:r w:rsidRPr="000C6E07">
        <w:rPr>
          <w:sz w:val="24"/>
          <w:szCs w:val="24"/>
          <w:lang w:val="ro-RO"/>
        </w:rPr>
        <w:t xml:space="preserve">, pentru a asigura compatibilitatea dintre rolurile poliției și ale carabinierilor, precum și respectarea standardelor internaționale în materie de drepturi fundamentale. </w:t>
      </w:r>
    </w:p>
    <w:p w14:paraId="5025C68C"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În plus, </w:t>
      </w:r>
      <w:r w:rsidRPr="000C6E07">
        <w:rPr>
          <w:b/>
          <w:sz w:val="24"/>
          <w:szCs w:val="24"/>
          <w:lang w:val="ro-RO"/>
        </w:rPr>
        <w:t>interoperabilitatea deficitară cu alte instituții ale statului</w:t>
      </w:r>
      <w:r w:rsidRPr="000C6E07">
        <w:rPr>
          <w:sz w:val="24"/>
          <w:szCs w:val="24"/>
          <w:lang w:val="ro-RO"/>
        </w:rPr>
        <w:t xml:space="preserve"> implicate în gestionarea evenimentelor publice afectează capacitatea de reacție coordonată și eficientă. Pentru ca reformele instituționale aflate în curs să își atingă obiectivele, este necesară consolidarea cadrului operațional comun, dezvoltarea capacităților de comandă integrată și armonizarea tuturor intervențiilor la standarde profesioniste și centrate pe respectarea drepturilor omului.</w:t>
      </w:r>
    </w:p>
    <w:p w14:paraId="543ED56E"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O deficiență care afectează calitatea serviciilor de OSP este </w:t>
      </w:r>
      <w:r w:rsidRPr="000C6E07">
        <w:rPr>
          <w:b/>
          <w:sz w:val="24"/>
          <w:szCs w:val="24"/>
          <w:lang w:val="ro-RO"/>
        </w:rPr>
        <w:t>comunicarea ineficientă dintre forțele de ordine și organizatorii sau participanții la evenimentele publice</w:t>
      </w:r>
      <w:r w:rsidRPr="000C6E07">
        <w:rPr>
          <w:sz w:val="24"/>
          <w:szCs w:val="24"/>
          <w:lang w:val="ro-RO"/>
        </w:rPr>
        <w:t>, determinată atât de competențele limitate ale angajaților în acest domeniu, cât și de absența personalului certificat în intervenții prin dialog. Această lacună se reflectă în lipsa instruirilor specializate pentru utilizarea metodelor non fizice și în nevalorificarea capacităților existente pentru consolidarea expertizei și dezvoltarea unei culturi organizaționale orientate spre dialog.</w:t>
      </w:r>
    </w:p>
    <w:p w14:paraId="098EBE5F" w14:textId="77777777" w:rsidR="000C6E07" w:rsidRPr="000C6E07" w:rsidRDefault="000C6E07" w:rsidP="000C6E07">
      <w:pPr>
        <w:spacing w:after="0"/>
        <w:ind w:firstLine="540"/>
        <w:jc w:val="both"/>
        <w:rPr>
          <w:sz w:val="24"/>
          <w:szCs w:val="24"/>
          <w:lang w:val="ro-RO"/>
        </w:rPr>
      </w:pPr>
      <w:r w:rsidRPr="000C6E07">
        <w:rPr>
          <w:sz w:val="24"/>
          <w:szCs w:val="24"/>
          <w:lang w:val="ro-RO"/>
        </w:rPr>
        <w:t xml:space="preserve">Prin Ordinul șefului INSP nr.49/2023 a fost aprobată instrucțiunea de utilizare a sistemelor de aeronave fără pilot la bord (UAV) în cadrul documentării abaterilor admise de la Regulamentul circulației rutiere de către conducătorii mijloacelor de transport în traficul rutier. Aeronavele fără pilot sunt utilizate și la evenimentele publice, iar utilizarea tehnologiilor complementare legate de colectarea imaginilor la evenimente publice urmează a fi reglementată pentru a evita potențiale încălcări ale drepturilor și libertăților participanților. </w:t>
      </w:r>
    </w:p>
    <w:p w14:paraId="4429FB15" w14:textId="77777777" w:rsidR="000C6E07" w:rsidRPr="000C6E07" w:rsidRDefault="000C6E07" w:rsidP="000C6E07">
      <w:pPr>
        <w:spacing w:after="0"/>
        <w:ind w:firstLine="540"/>
        <w:jc w:val="both"/>
        <w:rPr>
          <w:color w:val="000000"/>
          <w:sz w:val="24"/>
          <w:szCs w:val="24"/>
          <w:lang w:val="ro-RO" w:eastAsia="ro-RO"/>
        </w:rPr>
      </w:pPr>
      <w:r w:rsidRPr="000C6E07">
        <w:rPr>
          <w:sz w:val="24"/>
          <w:lang w:val="ro-RO"/>
        </w:rPr>
        <w:t>Remedierea deficiențelor identificate va permite o planificare și utilizare eficientă a forțelor de ordine publică, asigurând o alocare adecvată a resurselor și o dotare logistică corespunzătoare. Acest lucru va contribui la prestarea unor servicii de calitate în cadrul evenimentelor publice, prin aplicarea proporțională și legală a forței fizice și a mijloacelor speciale, reducând riscurile de vătămare atât pentru participanți, cât și pentru angajați. Totodată, va crește capacitatea instituțiilor de a proteja drepturile persoanelor pașnice și de a garanta libertatea de întrunire, consolidând încrederea publicului și sentimentul de siguranță. Îmbunătățirea performanței serviciilor va duce și la reducerea litigiilor, diminuarea riscurilor de ultragiere sau plângeri privind încălcarea drepturilor omului, precum și la întărirea rezilienței instituționale în fața tentativelor de imixtiune în activitatea structurilor Ministerului Afacerilor Interne.</w:t>
      </w:r>
    </w:p>
    <w:p w14:paraId="18D99A16" w14:textId="77777777" w:rsidR="000C6E07" w:rsidRPr="000C6E07" w:rsidRDefault="000C6E07" w:rsidP="000C6E07">
      <w:pPr>
        <w:spacing w:before="240"/>
        <w:jc w:val="center"/>
        <w:rPr>
          <w:b/>
          <w:sz w:val="24"/>
          <w:lang w:val="ro-RO"/>
        </w:rPr>
      </w:pPr>
      <w:r w:rsidRPr="000C6E07">
        <w:rPr>
          <w:b/>
          <w:sz w:val="24"/>
          <w:lang w:val="ro-RO"/>
        </w:rPr>
        <w:t>Secțiunea 3. Siguranța în zona de securitate</w:t>
      </w:r>
    </w:p>
    <w:p w14:paraId="6EF8FF54" w14:textId="77777777" w:rsidR="000C6E07" w:rsidRPr="000C6E07" w:rsidRDefault="000C6E07" w:rsidP="000C6E07">
      <w:pPr>
        <w:spacing w:after="0"/>
        <w:ind w:firstLine="540"/>
        <w:jc w:val="both"/>
        <w:rPr>
          <w:sz w:val="24"/>
          <w:szCs w:val="24"/>
          <w:lang w:val="ro-RO" w:eastAsia="ro-RO"/>
        </w:rPr>
      </w:pPr>
      <w:r w:rsidRPr="000C6E07">
        <w:rPr>
          <w:sz w:val="24"/>
          <w:szCs w:val="24"/>
          <w:lang w:val="ro-RO" w:eastAsia="ro-RO"/>
        </w:rPr>
        <w:t>Zona de securitate include 110 localități amplasate de-a lungul râului Nistru, inclusiv municipiul Bender – o zonă cu un regim de securitate sporit, aflată pe malul drept al Nistrului. În zona de securitate este instituit un regim special ca urmare a Acordului cu privire la principiile de reglementare pașnică a conflictului armat din regiunea transnistreană a Republicii Moldova, semnat de Republica Moldova și Federația Rusă la 21 iulie 1992.</w:t>
      </w:r>
    </w:p>
    <w:p w14:paraId="61682257" w14:textId="77777777" w:rsidR="000C6E07" w:rsidRPr="000C6E07" w:rsidRDefault="000C6E07" w:rsidP="000C6E07">
      <w:pPr>
        <w:spacing w:after="0"/>
        <w:ind w:firstLine="540"/>
        <w:jc w:val="both"/>
        <w:rPr>
          <w:sz w:val="24"/>
          <w:szCs w:val="24"/>
          <w:lang w:val="ro-RO" w:eastAsia="ro-RO"/>
        </w:rPr>
      </w:pPr>
      <w:r w:rsidRPr="000C6E07">
        <w:rPr>
          <w:sz w:val="24"/>
          <w:szCs w:val="24"/>
          <w:lang w:val="ro-RO" w:eastAsia="ro-RO"/>
        </w:rPr>
        <w:t xml:space="preserve">Spectrul de amenințări la adresa OSP din zona de securitate, include pe lângă problemele obișnuite, multiple amenințări nespecifice pentru restul teritoriului, printre care limitarea libertății de circulație, suprimarea libertății de exprimare și a libertății de întrunire și asociere, sechestrarea terenurilor agricole, reținerea ilicită la posturile ilegale de control, răpirea de persoane, deschiderea neautorizată a focului sau </w:t>
      </w:r>
      <w:r w:rsidRPr="000C6E07">
        <w:rPr>
          <w:sz w:val="24"/>
          <w:szCs w:val="24"/>
          <w:lang w:val="ro-RO" w:eastAsia="ro-RO"/>
        </w:rPr>
        <w:lastRenderedPageBreak/>
        <w:t>exerciții militare. Cauza principală a acestor amenințări este prezența militară ilegală a Federației Ruse în regiunea transnistreană și controlul exercitat asupra entității separatiste.</w:t>
      </w:r>
    </w:p>
    <w:p w14:paraId="739B2C2A" w14:textId="77777777" w:rsidR="000719E3" w:rsidRDefault="000C6E07" w:rsidP="000719E3">
      <w:pPr>
        <w:spacing w:after="0"/>
        <w:ind w:firstLine="540"/>
        <w:jc w:val="both"/>
        <w:rPr>
          <w:sz w:val="24"/>
          <w:szCs w:val="24"/>
          <w:lang w:val="ro-RO" w:eastAsia="ro-RO"/>
        </w:rPr>
      </w:pPr>
      <w:r w:rsidRPr="000C6E07">
        <w:rPr>
          <w:sz w:val="24"/>
          <w:szCs w:val="24"/>
          <w:lang w:val="ro-RO" w:eastAsia="ro-RO"/>
        </w:rPr>
        <w:t>Zona de securitate este militarizată și se află sub supravegherea forțelor de menținere a păcii, conform formatului convenit. Accesul subdiviziunilor MAI este limitat – carabinierii nu au dreptul de a activa în zonă, iar responsabilitatea pentru serviciile de OSP revine exclusiv poliției. Prezența poliției este stabilită printr-un principiu de paritate cu efectivele structurilor neconstituționale din regiune. Deși atribuțiile poliției în zona de securitate sunt, în esență, aceleași ca pe restul teritoriului aflat sub controlul autorităților constituționale, exercitarea acestora este constrânsă de condițiile specifice și limitările impuse de situația de securitate.</w:t>
      </w:r>
    </w:p>
    <w:p w14:paraId="05C08855" w14:textId="59454D81" w:rsidR="000C6E07" w:rsidRPr="000719E3" w:rsidRDefault="000C6E07" w:rsidP="000719E3">
      <w:pPr>
        <w:spacing w:after="0"/>
        <w:ind w:firstLine="540"/>
        <w:jc w:val="both"/>
        <w:rPr>
          <w:sz w:val="24"/>
          <w:szCs w:val="24"/>
          <w:lang w:val="ro-RO" w:eastAsia="ro-RO"/>
        </w:rPr>
      </w:pPr>
      <w:r w:rsidRPr="000C6E07">
        <w:rPr>
          <w:sz w:val="24"/>
          <w:szCs w:val="24"/>
          <w:lang w:val="ro-RO" w:eastAsia="ro-RO"/>
        </w:rPr>
        <w:t>În perioada anterioară, a fost înregistrat un progres minim în privința gestionării OSP în zona de securitate. IGP a elaborat în 2023, Raportul de analiză a amenințărilor în adresa ordinii și securității publice în contextul schimbării regionale precum și Nota informațional – analitică „Amenințări și riscuri aferente zonei de securitate pentru anii 2023-2024”</w:t>
      </w:r>
      <w:r w:rsidR="00B63119">
        <w:rPr>
          <w:sz w:val="24"/>
          <w:szCs w:val="24"/>
          <w:lang w:val="ro-RO" w:eastAsia="ro-RO"/>
        </w:rPr>
        <w:t xml:space="preserve">, </w:t>
      </w:r>
      <w:r w:rsidRPr="000C6E07">
        <w:rPr>
          <w:sz w:val="24"/>
          <w:szCs w:val="24"/>
          <w:lang w:val="ro-RO" w:eastAsia="ro-RO"/>
        </w:rPr>
        <w:t>documente care includ o abordare specifică privind ordinea și securitatea publică în zona de securitate.</w:t>
      </w:r>
      <w:r w:rsidRPr="000C6E07">
        <w:rPr>
          <w:lang w:val="ro-RO"/>
        </w:rPr>
        <w:t xml:space="preserve"> </w:t>
      </w:r>
    </w:p>
    <w:p w14:paraId="463AC6F9" w14:textId="21FD6CC2" w:rsidR="000C6E07" w:rsidRPr="000C6E07" w:rsidRDefault="000C6E07" w:rsidP="000C6E07">
      <w:pPr>
        <w:spacing w:after="0"/>
        <w:ind w:firstLine="540"/>
        <w:jc w:val="both"/>
        <w:rPr>
          <w:sz w:val="24"/>
          <w:lang w:val="ro-RO"/>
        </w:rPr>
      </w:pPr>
      <w:r w:rsidRPr="000C6E07">
        <w:rPr>
          <w:sz w:val="24"/>
          <w:szCs w:val="24"/>
          <w:lang w:val="ro-RO" w:eastAsia="ro-RO"/>
        </w:rPr>
        <w:t xml:space="preserve">Analizele arată că în anul 2024 s-a </w:t>
      </w:r>
      <w:r w:rsidRPr="00B63119">
        <w:rPr>
          <w:sz w:val="24"/>
          <w:szCs w:val="24"/>
          <w:lang w:val="ro-RO" w:eastAsia="ro-RO"/>
        </w:rPr>
        <w:t>înregistrat o creștere a fluxului zilnic prin</w:t>
      </w:r>
      <w:r w:rsidR="007F4FE2" w:rsidRPr="00B63119">
        <w:rPr>
          <w:sz w:val="24"/>
          <w:szCs w:val="24"/>
          <w:lang w:val="ro-RO" w:eastAsia="ro-RO"/>
        </w:rPr>
        <w:t xml:space="preserve"> Posturile vamale interne de control</w:t>
      </w:r>
      <w:r w:rsidRPr="00B63119">
        <w:rPr>
          <w:sz w:val="24"/>
          <w:szCs w:val="24"/>
          <w:lang w:val="ro-RO" w:eastAsia="ro-RO"/>
        </w:rPr>
        <w:t xml:space="preserve"> </w:t>
      </w:r>
      <w:r w:rsidR="007F4FE2" w:rsidRPr="00B63119">
        <w:rPr>
          <w:sz w:val="24"/>
          <w:szCs w:val="24"/>
          <w:lang w:val="ro-RO" w:eastAsia="ro-RO"/>
        </w:rPr>
        <w:t>(</w:t>
      </w:r>
      <w:r w:rsidRPr="00B63119">
        <w:rPr>
          <w:sz w:val="24"/>
          <w:szCs w:val="24"/>
          <w:lang w:val="ro-RO" w:eastAsia="ro-RO"/>
        </w:rPr>
        <w:t>PVIC</w:t>
      </w:r>
      <w:r w:rsidR="007F4FE2" w:rsidRPr="00B63119">
        <w:rPr>
          <w:sz w:val="24"/>
          <w:szCs w:val="24"/>
          <w:lang w:val="ro-RO" w:eastAsia="ro-RO"/>
        </w:rPr>
        <w:t>)</w:t>
      </w:r>
      <w:r w:rsidRPr="00B63119">
        <w:rPr>
          <w:sz w:val="24"/>
          <w:szCs w:val="24"/>
          <w:lang w:val="ro-RO" w:eastAsia="ro-RO"/>
        </w:rPr>
        <w:t xml:space="preserve"> față de 2023, cu o medie suplimentară</w:t>
      </w:r>
      <w:r w:rsidRPr="000C6E07">
        <w:rPr>
          <w:sz w:val="24"/>
          <w:szCs w:val="24"/>
          <w:lang w:val="ro-RO" w:eastAsia="ro-RO"/>
        </w:rPr>
        <w:t xml:space="preserve"> de +115 automobile și +170 persoane. Astfel, media zilnică a traversărilor a ajuns la 1 880 de automobile (față de 1 765 în 2023) și 3 840 de persoane (față de 3 670). </w:t>
      </w:r>
      <w:r w:rsidRPr="000C6E07">
        <w:rPr>
          <w:sz w:val="24"/>
          <w:lang w:val="ro-RO"/>
        </w:rPr>
        <w:t>Pe parcursul anului 2024, la PVIC-uri au fost înregistrate 299 încălcări, comparativ cu 3 în anul 2023. Ponderea de 91% (274 cazuri) aparține traversărilor ilegale, urmată de migrația ilegală – 7% (20 cazuri) și traficul ilicit de mărfuri – 2% (5 cazuri). Încălcările de migrație ilegală (18 cazuri) și traversare ilegală (250 cazuri) predomină la PVIC Rezina pod, comise de cetățeni ai Ucrainei în proporție de 95%.</w:t>
      </w:r>
      <w:r w:rsidRPr="000C6E07">
        <w:rPr>
          <w:rStyle w:val="aff3"/>
          <w:sz w:val="24"/>
          <w:lang w:val="ro-RO"/>
        </w:rPr>
        <w:footnoteReference w:id="18"/>
      </w:r>
    </w:p>
    <w:p w14:paraId="57F00ABC" w14:textId="77777777" w:rsidR="000C6E07" w:rsidRPr="003679EA" w:rsidRDefault="000C6E07" w:rsidP="003679EA">
      <w:pPr>
        <w:rPr>
          <w:sz w:val="24"/>
          <w:lang w:val="ro-RO" w:eastAsia="ro-RO"/>
        </w:rPr>
      </w:pPr>
    </w:p>
    <w:p w14:paraId="2ED8A4B1" w14:textId="77777777" w:rsidR="000C6E07" w:rsidRPr="000C6E07" w:rsidRDefault="000C6E07" w:rsidP="003679EA">
      <w:pPr>
        <w:spacing w:after="0"/>
        <w:ind w:firstLine="540"/>
        <w:rPr>
          <w:b/>
          <w:sz w:val="24"/>
          <w:szCs w:val="24"/>
          <w:lang w:val="ro-RO" w:eastAsia="ro-RO"/>
        </w:rPr>
      </w:pPr>
      <w:r w:rsidRPr="000C6E07">
        <w:rPr>
          <w:b/>
          <w:sz w:val="24"/>
          <w:szCs w:val="24"/>
          <w:lang w:val="ro-RO" w:eastAsia="ro-RO"/>
        </w:rPr>
        <w:t>Deficiențele serviciilor de OSP din zona de securitate</w:t>
      </w:r>
    </w:p>
    <w:p w14:paraId="4832DE56" w14:textId="77777777" w:rsidR="000C6E07" w:rsidRPr="000C6E07" w:rsidRDefault="000C6E07" w:rsidP="000C6E07">
      <w:pPr>
        <w:shd w:val="clear" w:color="auto" w:fill="FFFFFF"/>
        <w:spacing w:after="0"/>
        <w:ind w:firstLine="540"/>
        <w:jc w:val="both"/>
        <w:rPr>
          <w:sz w:val="24"/>
          <w:szCs w:val="24"/>
          <w:lang w:val="ro-RO"/>
        </w:rPr>
      </w:pPr>
      <w:r w:rsidRPr="000C6E07">
        <w:rPr>
          <w:b/>
          <w:sz w:val="24"/>
          <w:szCs w:val="24"/>
          <w:lang w:val="ro-RO" w:eastAsia="ro-RO"/>
        </w:rPr>
        <w:t>Condițiile de activitate pentru angajații poliției din zona de securitate sporită rămân deosebit de dificile, în special din cauza infrastructurii subdezvoltate</w:t>
      </w:r>
      <w:r w:rsidRPr="000C6E07">
        <w:rPr>
          <w:sz w:val="24"/>
          <w:szCs w:val="24"/>
          <w:lang w:val="ro-RO" w:eastAsia="ro-RO"/>
        </w:rPr>
        <w:t>. Zeci de ani, dezvoltarea infrastructurii a fost blocată de regimul juridic incert al proprietăților, care a împiedicat direcționarea resurselor necesare pentru investiții durabile. Această situație afectează și Posturile vamale interne de control (PVIC), unde, în majoritatea cazurilor, lipseau condițiile minime pentru desfășurarea activității, cum ar fi spații adecvate și mobilier funcțional. În ultima perioadă s-au înregistrat unele îmbunătățiri: IGP a recepționat și instalat șapte containere multifuncționale pentru PVIC, oferite cu sprijinul UNHCR, contribuind la ameliorarea parțială a condițiilor de lucru în aceste puncte În plus, IGP a aprobat normele de amenajare și dotare a posturilor vamale interne de control pornind de la amenințările la adresa ordinii și securității publice, inclusiv în contextul schimbărilor regionale și a elaborat conceptul (modelul) unui PVIC.</w:t>
      </w:r>
      <w:r w:rsidRPr="000C6E07">
        <w:rPr>
          <w:sz w:val="24"/>
          <w:szCs w:val="24"/>
          <w:lang w:val="ro-RO"/>
        </w:rPr>
        <w:t xml:space="preserve"> </w:t>
      </w:r>
    </w:p>
    <w:p w14:paraId="62886062" w14:textId="3C2DC0C2" w:rsidR="000C6E07" w:rsidRPr="000C6E07" w:rsidRDefault="000C6E07" w:rsidP="000C6E07">
      <w:pPr>
        <w:spacing w:after="0"/>
        <w:ind w:firstLine="540"/>
        <w:jc w:val="both"/>
        <w:rPr>
          <w:sz w:val="24"/>
          <w:szCs w:val="24"/>
          <w:lang w:val="ro-RO" w:eastAsia="ro-RO"/>
        </w:rPr>
      </w:pPr>
      <w:r w:rsidRPr="000C6E07">
        <w:rPr>
          <w:sz w:val="24"/>
          <w:szCs w:val="24"/>
          <w:lang w:val="ro-RO"/>
        </w:rPr>
        <w:t xml:space="preserve">PVIC-urile continuă să se confrunte cu mai multe vulnerabilități printre care deservirea PVIC-urilor de către un singur angajat al Poliției, inclusiv în punctele cu trafic intens, ceea ce limitează capacitatea de reacție și supraveghere. Subdiviziunile teritoriale ale Poliției responsabile de zona de Securitate au un număr important de funcții vacante. </w:t>
      </w:r>
      <w:r w:rsidRPr="000C6E07">
        <w:rPr>
          <w:sz w:val="24"/>
          <w:szCs w:val="24"/>
          <w:lang w:val="ro-RO" w:eastAsia="ro-RO"/>
        </w:rPr>
        <w:t>Funcțiile pentru activitatea PVIC nu sunt prevăzute în statele de organizare, iar angajații nu au fișe de post corespunzătoare și sunt detașați din subdiviziunil</w:t>
      </w:r>
      <w:r w:rsidR="007F4FE2">
        <w:rPr>
          <w:sz w:val="24"/>
          <w:szCs w:val="24"/>
          <w:lang w:val="ro-RO" w:eastAsia="ro-RO"/>
        </w:rPr>
        <w:t>e</w:t>
      </w:r>
      <w:r w:rsidRPr="000C6E07">
        <w:rPr>
          <w:sz w:val="24"/>
          <w:szCs w:val="24"/>
          <w:lang w:val="ro-RO" w:eastAsia="ro-RO"/>
        </w:rPr>
        <w:t xml:space="preserve"> teritoriale (patrulare, ofițeri de sector, izolatorul de detenție provizorie), ceea ce afectează funcționarea acestora. Angajații implicați sunt pregătiți insuficient privind specificul activității în zona de securitate în cadrul formatului de menținere a păcii. </w:t>
      </w:r>
      <w:r w:rsidRPr="000C6E07">
        <w:rPr>
          <w:sz w:val="24"/>
          <w:szCs w:val="24"/>
          <w:lang w:val="ro-RO"/>
        </w:rPr>
        <w:t xml:space="preserve">Dotarea inegală cu echipamente, mijloace speciale și absența unui sistem unificat de comunicare, afectează coordonarea și eficiența operațională a PVIC. Lipsa echipamentelor și sistemelor de monitorizare video cauzează capacitate insuficientă de prevenire, analiză și intervenție. Pe parcursul perioadei anterioare, a fost </w:t>
      </w:r>
      <w:r w:rsidRPr="000C6E07">
        <w:rPr>
          <w:sz w:val="24"/>
          <w:szCs w:val="24"/>
          <w:lang w:val="ro-RO" w:eastAsia="ro-RO"/>
        </w:rPr>
        <w:t>extins sistemul informațional de supraveghere video a traficului, iar în anul 2025 este planificată dotarea cu tehnic</w:t>
      </w:r>
      <w:r w:rsidR="007F4FE2">
        <w:rPr>
          <w:sz w:val="24"/>
          <w:szCs w:val="24"/>
          <w:lang w:val="ro-RO" w:eastAsia="ro-RO"/>
        </w:rPr>
        <w:t>ă</w:t>
      </w:r>
      <w:r w:rsidRPr="000C6E07">
        <w:rPr>
          <w:sz w:val="24"/>
          <w:szCs w:val="24"/>
          <w:lang w:val="ro-RO" w:eastAsia="ro-RO"/>
        </w:rPr>
        <w:t xml:space="preserve"> de calcul performantă, conexiunea la internet și sisteme de telecomunicații moderne.</w:t>
      </w:r>
      <w:r w:rsidRPr="000C6E07">
        <w:rPr>
          <w:rStyle w:val="aff3"/>
          <w:sz w:val="24"/>
          <w:lang w:val="ro-RO"/>
        </w:rPr>
        <w:t xml:space="preserve"> </w:t>
      </w:r>
      <w:r w:rsidRPr="000C6E07">
        <w:rPr>
          <w:sz w:val="24"/>
          <w:lang w:val="ro-RO"/>
        </w:rPr>
        <w:t>Deocamdată</w:t>
      </w:r>
      <w:r w:rsidRPr="000C6E07">
        <w:rPr>
          <w:sz w:val="24"/>
          <w:szCs w:val="24"/>
          <w:lang w:val="ro-RO" w:eastAsia="ro-RO"/>
        </w:rPr>
        <w:t>, monitorizarea și înregistrarea fluxului de transport și persoane, inclusiv a transportului cu marfă, se efectuează în baza registrelor pe hârtie.</w:t>
      </w:r>
      <w:r w:rsidRPr="000C6E07">
        <w:rPr>
          <w:rStyle w:val="aff3"/>
          <w:sz w:val="24"/>
          <w:lang w:val="ro-RO"/>
        </w:rPr>
        <w:footnoteReference w:id="19"/>
      </w:r>
      <w:r w:rsidRPr="000C6E07">
        <w:rPr>
          <w:sz w:val="24"/>
          <w:szCs w:val="24"/>
          <w:lang w:val="ro-RO" w:eastAsia="ro-RO"/>
        </w:rPr>
        <w:t xml:space="preserve"> Pe lângă limitările materiale, </w:t>
      </w:r>
      <w:r w:rsidRPr="000C6E07">
        <w:rPr>
          <w:b/>
          <w:sz w:val="24"/>
          <w:szCs w:val="24"/>
          <w:lang w:val="ro-RO" w:eastAsia="ro-RO"/>
        </w:rPr>
        <w:t xml:space="preserve">activitatea </w:t>
      </w:r>
      <w:r w:rsidR="007F4FE2">
        <w:rPr>
          <w:b/>
          <w:sz w:val="24"/>
          <w:szCs w:val="24"/>
          <w:lang w:val="ro-RO" w:eastAsia="ro-RO"/>
        </w:rPr>
        <w:t>P</w:t>
      </w:r>
      <w:r w:rsidRPr="000C6E07">
        <w:rPr>
          <w:b/>
          <w:sz w:val="24"/>
          <w:szCs w:val="24"/>
          <w:lang w:val="ro-RO" w:eastAsia="ro-RO"/>
        </w:rPr>
        <w:t>oliției în zona de securitate sporită este afectată și de coabitarea dificilă cu structurile specializate ale așa-numitelor autorități transnistrene</w:t>
      </w:r>
      <w:r w:rsidRPr="000C6E07">
        <w:rPr>
          <w:sz w:val="24"/>
          <w:szCs w:val="24"/>
          <w:lang w:val="ro-RO" w:eastAsia="ro-RO"/>
        </w:rPr>
        <w:t xml:space="preserve">, care operează în același teritoriu beneficiind de impunitate. Această situație generează un climat de insecuritate atât pentru populația locală, cât și pentru </w:t>
      </w:r>
      <w:r w:rsidRPr="000C6E07">
        <w:rPr>
          <w:sz w:val="24"/>
          <w:szCs w:val="24"/>
          <w:lang w:val="ro-RO" w:eastAsia="ro-RO"/>
        </w:rPr>
        <w:lastRenderedPageBreak/>
        <w:t xml:space="preserve">angajații poliției, care sunt expuși periodic la intimidări, presiuni și abuzuri. În acest context, performanța Inspectoratului de Poliție Bender este semnificativ inferioară </w:t>
      </w:r>
      <w:r w:rsidR="007F4FE2" w:rsidRPr="007F4FE2">
        <w:rPr>
          <w:sz w:val="24"/>
          <w:szCs w:val="24"/>
          <w:lang w:val="ro-RO" w:eastAsia="ro-RO"/>
        </w:rPr>
        <w:t xml:space="preserve">comparativ cu al altor </w:t>
      </w:r>
      <w:r w:rsidRPr="000C6E07">
        <w:rPr>
          <w:sz w:val="24"/>
          <w:szCs w:val="24"/>
          <w:lang w:val="ro-RO" w:eastAsia="ro-RO"/>
        </w:rPr>
        <w:t>inspectorate teritoriale din Republica Moldova, deși această discrepanță nu poate fi documentată riguros în absența unui sistem de evaluare comparată a performanțelor subdiviziunilor teritoriale.</w:t>
      </w:r>
    </w:p>
    <w:p w14:paraId="24E672F5" w14:textId="407F6E52" w:rsidR="000C6E07" w:rsidRPr="000C6E07" w:rsidRDefault="000C6E07" w:rsidP="000719E3">
      <w:pPr>
        <w:spacing w:after="0"/>
        <w:ind w:firstLine="540"/>
        <w:jc w:val="both"/>
        <w:rPr>
          <w:sz w:val="24"/>
          <w:szCs w:val="24"/>
          <w:lang w:val="ro-RO"/>
        </w:rPr>
      </w:pPr>
      <w:r w:rsidRPr="000C6E07">
        <w:rPr>
          <w:sz w:val="24"/>
          <w:szCs w:val="24"/>
          <w:lang w:val="ro-RO"/>
        </w:rPr>
        <w:t xml:space="preserve">Analiza condițiilor de lucru și a nivelului de dotare a PVIC-urilor, coroborată cu încălcările înregistrate și </w:t>
      </w:r>
      <w:r w:rsidRPr="000C6E07">
        <w:rPr>
          <w:sz w:val="24"/>
          <w:szCs w:val="24"/>
          <w:lang w:val="ro-RO" w:eastAsia="ro-RO"/>
        </w:rPr>
        <w:t>deficiențele</w:t>
      </w:r>
      <w:r w:rsidRPr="000C6E07">
        <w:rPr>
          <w:sz w:val="24"/>
          <w:szCs w:val="24"/>
          <w:lang w:val="ro-RO"/>
        </w:rPr>
        <w:t xml:space="preserve"> semnalate de subdiviziunile teritoriale ale Poliției care gestionează aceste posturi, evidențiază că migrația ilegală, traversarea ilegală și traficul ilicit de mărfuri constituie amenințări reale, cu impact semnificativ </w:t>
      </w:r>
      <w:r w:rsidRPr="00B63119">
        <w:rPr>
          <w:sz w:val="24"/>
          <w:szCs w:val="24"/>
          <w:lang w:val="ro-RO"/>
        </w:rPr>
        <w:t xml:space="preserve">asupra ordinii și securității publice în toate zonele aflate de-a lungul liniei administrative. Având în vedere dinamica ascendentă a acestor fenomene și contextul geopolitic instabil din regiune, migrația ilegală și traversarea ilegală </w:t>
      </w:r>
      <w:r w:rsidR="000719E3" w:rsidRPr="00B63119">
        <w:rPr>
          <w:sz w:val="24"/>
          <w:szCs w:val="24"/>
          <w:lang w:val="ro-RO"/>
        </w:rPr>
        <w:t xml:space="preserve">a frontierei de stat pe segmentul </w:t>
      </w:r>
      <w:proofErr w:type="spellStart"/>
      <w:r w:rsidR="000719E3" w:rsidRPr="00B63119">
        <w:rPr>
          <w:sz w:val="24"/>
          <w:szCs w:val="24"/>
          <w:lang w:val="ro-RO"/>
        </w:rPr>
        <w:t>moldo</w:t>
      </w:r>
      <w:proofErr w:type="spellEnd"/>
      <w:r w:rsidR="000719E3" w:rsidRPr="00B63119">
        <w:rPr>
          <w:sz w:val="24"/>
          <w:szCs w:val="24"/>
          <w:lang w:val="ro-RO"/>
        </w:rPr>
        <w:t xml:space="preserve">-ucrainean necontrolat de autoritățile constituționale </w:t>
      </w:r>
      <w:r w:rsidRPr="00B63119">
        <w:rPr>
          <w:sz w:val="24"/>
          <w:szCs w:val="24"/>
          <w:lang w:val="ro-RO"/>
        </w:rPr>
        <w:t>sunt</w:t>
      </w:r>
      <w:r w:rsidRPr="000C6E07">
        <w:rPr>
          <w:sz w:val="24"/>
          <w:szCs w:val="24"/>
          <w:lang w:val="ro-RO"/>
        </w:rPr>
        <w:t xml:space="preserve"> calificate ca amenințări de nivel înalt (3), în timp ce traficul ilicit de mărfuri este apreciat ca o amenințare de nivel mediu (2).</w:t>
      </w:r>
    </w:p>
    <w:p w14:paraId="37D4F54D" w14:textId="77777777" w:rsidR="000C6E07" w:rsidRPr="000C6E07" w:rsidRDefault="000C6E07" w:rsidP="000C6E07">
      <w:pPr>
        <w:spacing w:after="0"/>
        <w:ind w:firstLine="540"/>
        <w:jc w:val="both"/>
        <w:rPr>
          <w:sz w:val="24"/>
          <w:szCs w:val="24"/>
          <w:lang w:val="ro-RO"/>
        </w:rPr>
      </w:pPr>
      <w:r w:rsidRPr="000C6E07">
        <w:rPr>
          <w:sz w:val="24"/>
          <w:szCs w:val="24"/>
          <w:lang w:val="ro-RO"/>
        </w:rPr>
        <w:t>Aceste amenințări generează riscuri considerabile la adresa securității statului și a ordinii publice, printre care îngreunarea și întârzierea proceselor de verificare și monitorizare la traversarea PVIC-urilor, capacitate redusă de gestionare eficientă a incidentelor, creșterea numărului de infracțiuni asociate migrației ilegale, performanță operațională scăzută din cauza condițiilor de muncă inadecvate, dificultăți în probarea eficientă a incidentelor, utilizarea ineficientă a resurselor disponibile. Materializarea acestor riscuri poate afecta grav securitatea națională și ordinea publică, contribuind la instabilitate socială și economică și afectând imaginea Republicii Moldova pe plan internațional.</w:t>
      </w:r>
      <w:r w:rsidRPr="000C6E07">
        <w:rPr>
          <w:rStyle w:val="aff3"/>
          <w:sz w:val="24"/>
          <w:lang w:val="ro-RO"/>
        </w:rPr>
        <w:t xml:space="preserve"> </w:t>
      </w:r>
      <w:r w:rsidRPr="000C6E07">
        <w:rPr>
          <w:rStyle w:val="aff3"/>
          <w:sz w:val="24"/>
          <w:lang w:val="ro-RO"/>
        </w:rPr>
        <w:footnoteReference w:id="20"/>
      </w:r>
    </w:p>
    <w:p w14:paraId="7FD34BB5" w14:textId="77777777" w:rsidR="000C6E07" w:rsidRPr="000C6E07" w:rsidRDefault="000C6E07" w:rsidP="000C6E07">
      <w:pPr>
        <w:spacing w:after="0"/>
        <w:ind w:firstLine="540"/>
        <w:jc w:val="both"/>
        <w:rPr>
          <w:sz w:val="24"/>
          <w:szCs w:val="24"/>
          <w:lang w:val="ro-RO" w:eastAsia="ro-RO"/>
        </w:rPr>
      </w:pPr>
      <w:r w:rsidRPr="000C6E07">
        <w:rPr>
          <w:sz w:val="24"/>
          <w:szCs w:val="24"/>
          <w:lang w:val="ro-RO" w:eastAsia="ro-RO"/>
        </w:rPr>
        <w:t>În 2023, IGP a mai creat 4 funcții în cadrul Serviciilor de patrulare SSP a IP Dubăsari, a aprobat procedura operațională standard privind activitatea angajaților Poliției antrenați în serviciu la posturile vamale interne de control (Ordinul șefului IGP nr.250/2023) și algoritmul de notificare/informare în cazul incidentelor din zona de securitate (Ordinul șefului IGP nr.112/2023).</w:t>
      </w:r>
      <w:r w:rsidRPr="000C6E07">
        <w:rPr>
          <w:b/>
          <w:color w:val="0070C0"/>
          <w:sz w:val="24"/>
          <w:szCs w:val="24"/>
          <w:lang w:val="ro-RO"/>
        </w:rPr>
        <w:t xml:space="preserve"> </w:t>
      </w:r>
    </w:p>
    <w:p w14:paraId="680C5C8E" w14:textId="77777777" w:rsidR="000C6E07" w:rsidRPr="000C6E07" w:rsidRDefault="000C6E07" w:rsidP="000C6E07">
      <w:pPr>
        <w:spacing w:after="0"/>
        <w:ind w:firstLine="540"/>
        <w:jc w:val="both"/>
        <w:rPr>
          <w:sz w:val="24"/>
          <w:szCs w:val="24"/>
          <w:lang w:val="ro-RO" w:eastAsia="ro-RO"/>
        </w:rPr>
      </w:pPr>
      <w:r w:rsidRPr="000C6E07">
        <w:rPr>
          <w:sz w:val="24"/>
          <w:szCs w:val="24"/>
          <w:lang w:val="ro-RO" w:eastAsia="ro-RO"/>
        </w:rPr>
        <w:t>Remedierea problemelor identificate va consolida autoritatea și capacitatea operațională a serviciilor de ordine publică în zona de securitate, sporind controlul instituțional asupra situației din teritoriu. Aceasta va duce la reducerea semnificativă a cazurilor de intimidare și presiune asupra angajaților MAI și va descuraja abuzurile comise de structurile ilegale. Populația va avea un acces mai sigur și eficient la serviciile statului, ceea ce va contribui la restabilirea încrederii în instituțiile constituționale și la reducerea formelor informale de soluționare a conflictelor. Per ansamblu, se vor consolida siguranța publică, statul de drept și reziliența regiunii în fața provocărilor de securitate și a riscurilor de destabilizare.</w:t>
      </w:r>
    </w:p>
    <w:p w14:paraId="02A69F9C" w14:textId="77777777" w:rsidR="000C6E07" w:rsidRPr="000C6E07" w:rsidRDefault="000C6E07" w:rsidP="000C6E07">
      <w:pPr>
        <w:spacing w:before="240"/>
        <w:jc w:val="center"/>
        <w:rPr>
          <w:b/>
          <w:sz w:val="24"/>
          <w:lang w:val="ro-RO"/>
        </w:rPr>
      </w:pPr>
      <w:r w:rsidRPr="000C6E07">
        <w:rPr>
          <w:b/>
          <w:sz w:val="24"/>
          <w:lang w:val="ro-RO"/>
        </w:rPr>
        <w:t>Secțiunea 4. Respectarea drepturilor și libertăților omului de către angajații subdiviziunilor Ministerului Afacerilor Interne</w:t>
      </w:r>
    </w:p>
    <w:p w14:paraId="4D45E1C9" w14:textId="3C8A50F7" w:rsidR="000C6E07" w:rsidRPr="000C6E07" w:rsidRDefault="000C6E07" w:rsidP="000C6E07">
      <w:pPr>
        <w:pStyle w:val="71"/>
        <w:ind w:firstLine="540"/>
        <w:rPr>
          <w:sz w:val="24"/>
          <w:szCs w:val="24"/>
          <w:lang w:val="ro-RO"/>
        </w:rPr>
      </w:pPr>
      <w:r w:rsidRPr="000C6E07">
        <w:rPr>
          <w:sz w:val="24"/>
          <w:lang w:val="ro-RO"/>
        </w:rPr>
        <w:t>În activitatea zilnică de menținere a ordinii și securității publice, polițiștii și carabinierii interacționează direct cu cetățenii. Anual, mii de persoane solicită intervenția structurilor specializate sau ajung în custodia acestora.</w:t>
      </w:r>
      <w:r w:rsidRPr="000C6E07">
        <w:rPr>
          <w:color w:val="0070C0"/>
          <w:sz w:val="24"/>
          <w:szCs w:val="24"/>
          <w:lang w:val="ro-RO"/>
        </w:rPr>
        <w:t xml:space="preserve"> </w:t>
      </w:r>
      <w:r w:rsidRPr="000C6E07">
        <w:rPr>
          <w:sz w:val="24"/>
          <w:szCs w:val="24"/>
          <w:lang w:val="ro-RO"/>
        </w:rPr>
        <w:t>Poliția este principala instituție la care ar apela cetățenii în cazul unor încălcări ale drepturilor. Studiul UNDP privind Accesul la Justiție în Republica Moldova</w:t>
      </w:r>
      <w:r w:rsidRPr="000C6E07">
        <w:rPr>
          <w:rStyle w:val="aff3"/>
          <w:sz w:val="24"/>
          <w:szCs w:val="24"/>
          <w:lang w:val="ro-RO"/>
        </w:rPr>
        <w:footnoteReference w:id="21"/>
      </w:r>
      <w:r w:rsidRPr="000C6E07">
        <w:rPr>
          <w:sz w:val="24"/>
          <w:szCs w:val="24"/>
          <w:lang w:val="ro-RO"/>
        </w:rPr>
        <w:t xml:space="preserve">, a constatat că </w:t>
      </w:r>
      <w:r w:rsidRPr="000C6E07">
        <w:rPr>
          <w:b/>
          <w:sz w:val="24"/>
          <w:szCs w:val="24"/>
          <w:lang w:val="ro-RO"/>
        </w:rPr>
        <w:t xml:space="preserve">respondenții care au avut nevoie de ajutor pentru a rezolva un litigiu, au apelat cel mai frecvent la </w:t>
      </w:r>
      <w:r w:rsidR="007F4FE2">
        <w:rPr>
          <w:b/>
          <w:sz w:val="24"/>
          <w:szCs w:val="24"/>
          <w:lang w:val="ro-RO"/>
        </w:rPr>
        <w:t>P</w:t>
      </w:r>
      <w:r w:rsidRPr="000C6E07">
        <w:rPr>
          <w:b/>
          <w:sz w:val="24"/>
          <w:szCs w:val="24"/>
          <w:lang w:val="ro-RO"/>
        </w:rPr>
        <w:t>oliție (17,3%)</w:t>
      </w:r>
      <w:r w:rsidRPr="000C6E07">
        <w:rPr>
          <w:sz w:val="24"/>
          <w:szCs w:val="24"/>
          <w:lang w:val="ro-RO"/>
        </w:rPr>
        <w:t xml:space="preserve"> și în proporție mai mică la alte instituții. Când respondenții s-au confruntat cu o problemă, </w:t>
      </w:r>
      <w:r w:rsidRPr="000C6E07">
        <w:rPr>
          <w:b/>
          <w:sz w:val="24"/>
          <w:szCs w:val="24"/>
          <w:lang w:val="ro-RO"/>
        </w:rPr>
        <w:t xml:space="preserve">poliția s-a plasat printre cele mai solicitate și utile instituții, cu 28% dintre respondenți solicitând îndrumările poliției și 22,5% raportând utilitatea acestor </w:t>
      </w:r>
      <w:r w:rsidRPr="00D423CE">
        <w:rPr>
          <w:b/>
          <w:sz w:val="24"/>
          <w:szCs w:val="24"/>
          <w:lang w:val="ro-RO"/>
        </w:rPr>
        <w:t>îndrumăr</w:t>
      </w:r>
      <w:r w:rsidRPr="00D423CE">
        <w:rPr>
          <w:sz w:val="24"/>
          <w:szCs w:val="24"/>
          <w:lang w:val="ro-RO"/>
        </w:rPr>
        <w:t xml:space="preserve">i, mai mult decât în cazul </w:t>
      </w:r>
      <w:r w:rsidR="00D423CE" w:rsidRPr="00D423CE">
        <w:rPr>
          <w:sz w:val="24"/>
          <w:szCs w:val="24"/>
          <w:lang w:val="ro-RO"/>
        </w:rPr>
        <w:t>autorităților administrației publice locale,</w:t>
      </w:r>
      <w:r w:rsidRPr="00D423CE">
        <w:rPr>
          <w:sz w:val="24"/>
          <w:szCs w:val="24"/>
          <w:lang w:val="ro-RO"/>
        </w:rPr>
        <w:t xml:space="preserve"> avocaților, rudelor sau instanțelor de judecată.</w:t>
      </w:r>
      <w:r w:rsidRPr="000C6E07">
        <w:rPr>
          <w:sz w:val="24"/>
          <w:szCs w:val="24"/>
          <w:lang w:val="ro-RO"/>
        </w:rPr>
        <w:t xml:space="preserve"> </w:t>
      </w:r>
    </w:p>
    <w:p w14:paraId="0CF3CC1E" w14:textId="728312A3" w:rsidR="000C6E07" w:rsidRPr="000C6E07" w:rsidRDefault="000C6E07" w:rsidP="000C6E07">
      <w:pPr>
        <w:pStyle w:val="71"/>
        <w:ind w:firstLine="540"/>
        <w:rPr>
          <w:sz w:val="24"/>
          <w:szCs w:val="24"/>
          <w:lang w:val="ro-RO"/>
        </w:rPr>
      </w:pPr>
      <w:r w:rsidRPr="000C6E07">
        <w:rPr>
          <w:sz w:val="24"/>
          <w:szCs w:val="24"/>
          <w:lang w:val="ro-RO"/>
        </w:rPr>
        <w:t xml:space="preserve">Având în vedere acest context, poliția trebuie să-și asume un rol activ de mediator și facilitator, și să asigure servicii de calitate pentru a răspunde solicitărilor și necesităților populației. </w:t>
      </w:r>
      <w:r w:rsidRPr="000C6E07">
        <w:rPr>
          <w:b/>
          <w:sz w:val="24"/>
          <w:szCs w:val="24"/>
          <w:lang w:val="ro-RO"/>
        </w:rPr>
        <w:t>Totuși percepția privind calitatea serviciilor oferite de poliție continuă să fie preponderent negativă.</w:t>
      </w:r>
      <w:r w:rsidRPr="000C6E07">
        <w:rPr>
          <w:sz w:val="24"/>
          <w:szCs w:val="24"/>
          <w:lang w:val="ro-RO"/>
        </w:rPr>
        <w:t xml:space="preserve"> Respondenții au evidențiat deficiențe în comunicarea și interacțiunea cu poliția; Poliția a fost una dintre cea mai puțin accesibilă instituție atât în zona rurală 44,4%, cât și în zona urbană 46,3%, mai puțin accesibile fiind doar autoritățile publice locale și instanțele de judecată. Pentru comparație, notarii, Oficiul Avocatului Poporului și serviciile de asistență juridică având o apreciere de accesibilitate de 80%-90%. </w:t>
      </w:r>
    </w:p>
    <w:p w14:paraId="7FEA5B2F" w14:textId="7D16323E" w:rsidR="000C6E07" w:rsidRPr="000C6E07" w:rsidRDefault="000C6E07" w:rsidP="000C6E07">
      <w:pPr>
        <w:pStyle w:val="71"/>
        <w:ind w:firstLine="540"/>
        <w:rPr>
          <w:sz w:val="24"/>
          <w:szCs w:val="24"/>
          <w:lang w:val="ro-RO"/>
        </w:rPr>
      </w:pPr>
      <w:r w:rsidRPr="000C6E07">
        <w:rPr>
          <w:sz w:val="24"/>
          <w:szCs w:val="24"/>
          <w:lang w:val="ro-RO"/>
        </w:rPr>
        <w:lastRenderedPageBreak/>
        <w:t>Conform aceluiași studiu, instituțiile cu cele mai scăzute niveluri de încredere printre respondenți sunt instanțele de judecată, procuraturile și poliția, cu, respectiv, 42,2%, 40,7% și 39,9% dintre respondenți exprimând puțină încredere sau deloc în aceste instituții.</w:t>
      </w:r>
      <w:r w:rsidRPr="000C6E07">
        <w:rPr>
          <w:lang w:val="ro-RO"/>
        </w:rPr>
        <w:t xml:space="preserve"> </w:t>
      </w:r>
      <w:r w:rsidRPr="000C6E07">
        <w:rPr>
          <w:sz w:val="24"/>
          <w:szCs w:val="24"/>
          <w:lang w:val="ro-RO"/>
        </w:rPr>
        <w:t xml:space="preserve">Factorii cheie care contribuie la această stare de neîncredere sunt percepția de incapacitate în aplicarea legii (58%), corupția sistemică (51,2%) și ineficiența </w:t>
      </w:r>
      <w:r w:rsidRPr="00D423CE">
        <w:rPr>
          <w:sz w:val="24"/>
          <w:szCs w:val="24"/>
          <w:lang w:val="ro-RO"/>
        </w:rPr>
        <w:t>instituțională (31,6%). Totodată, Sondajul național de opinie publică privind integritatea în sectorul justiției efectuat de</w:t>
      </w:r>
      <w:r w:rsidR="00D423CE" w:rsidRPr="00D423CE">
        <w:t xml:space="preserve"> </w:t>
      </w:r>
      <w:r w:rsidR="00D423CE" w:rsidRPr="00D423CE">
        <w:rPr>
          <w:sz w:val="24"/>
          <w:szCs w:val="24"/>
          <w:lang w:val="ro-RO"/>
        </w:rPr>
        <w:t>Institutul pentru Politici și Reforme Europene</w:t>
      </w:r>
      <w:r w:rsidRPr="00D423CE">
        <w:rPr>
          <w:sz w:val="24"/>
          <w:szCs w:val="24"/>
          <w:lang w:val="ro-RO"/>
        </w:rPr>
        <w:t xml:space="preserve"> </w:t>
      </w:r>
      <w:r w:rsidR="00D423CE" w:rsidRPr="00D423CE">
        <w:rPr>
          <w:sz w:val="24"/>
          <w:szCs w:val="24"/>
          <w:lang w:val="ro-RO"/>
        </w:rPr>
        <w:t>(</w:t>
      </w:r>
      <w:r w:rsidRPr="00D423CE">
        <w:rPr>
          <w:sz w:val="24"/>
          <w:szCs w:val="24"/>
          <w:lang w:val="ro-RO"/>
        </w:rPr>
        <w:t>IPRE</w:t>
      </w:r>
      <w:r w:rsidR="00D423CE" w:rsidRPr="00D423CE">
        <w:rPr>
          <w:sz w:val="24"/>
          <w:szCs w:val="24"/>
          <w:lang w:val="ro-RO"/>
        </w:rPr>
        <w:t>)</w:t>
      </w:r>
      <w:r w:rsidRPr="00D423CE">
        <w:rPr>
          <w:sz w:val="24"/>
          <w:szCs w:val="24"/>
          <w:lang w:val="ro-RO"/>
        </w:rPr>
        <w:t xml:space="preserve"> </w:t>
      </w:r>
      <w:r w:rsidRPr="00D423CE">
        <w:rPr>
          <w:rStyle w:val="aff3"/>
          <w:sz w:val="24"/>
          <w:szCs w:val="24"/>
          <w:lang w:val="ro-RO"/>
        </w:rPr>
        <w:footnoteReference w:id="22"/>
      </w:r>
      <w:r w:rsidRPr="00D423CE">
        <w:rPr>
          <w:sz w:val="24"/>
          <w:szCs w:val="24"/>
          <w:lang w:val="ro-RO"/>
        </w:rPr>
        <w:t>,</w:t>
      </w:r>
      <w:r w:rsidRPr="000C6E07">
        <w:rPr>
          <w:sz w:val="24"/>
          <w:szCs w:val="24"/>
          <w:lang w:val="ro-RO"/>
        </w:rPr>
        <w:t xml:space="preserve"> arată că </w:t>
      </w:r>
      <w:r w:rsidRPr="000C6E07">
        <w:rPr>
          <w:b/>
          <w:sz w:val="24"/>
          <w:szCs w:val="24"/>
          <w:lang w:val="ro-RO"/>
        </w:rPr>
        <w:t>46% din respondenți consideră corupția foarte mult sau oarecum mult prezentă în rândul poliției</w:t>
      </w:r>
      <w:r w:rsidRPr="000C6E07">
        <w:rPr>
          <w:sz w:val="24"/>
          <w:szCs w:val="24"/>
          <w:lang w:val="ro-RO"/>
        </w:rPr>
        <w:t xml:space="preserve"> (comparabil cu sistemul procuraturii 47% și sistemul judecătoresc 48%). Percepția preponderent negativă despre interacțiunea cu poliția este alimentată și de alte cauze, inclusiv abilitățile reduse de comunicare ale angajaților și perpetuarea cazurilor de încălcare a legii de către angajați. </w:t>
      </w:r>
    </w:p>
    <w:p w14:paraId="5CB9146E" w14:textId="77777777" w:rsidR="000C6E07" w:rsidRPr="000C6E07" w:rsidRDefault="000C6E07" w:rsidP="000C6E07">
      <w:pPr>
        <w:pStyle w:val="71"/>
        <w:ind w:firstLine="540"/>
        <w:rPr>
          <w:sz w:val="24"/>
          <w:szCs w:val="24"/>
          <w:lang w:val="ro-RO" w:eastAsia="ro-RO"/>
        </w:rPr>
      </w:pPr>
      <w:r w:rsidRPr="000C6E07">
        <w:rPr>
          <w:sz w:val="24"/>
          <w:szCs w:val="24"/>
          <w:lang w:val="ro-RO"/>
        </w:rPr>
        <w:t xml:space="preserve">La nivel instituțional se întreprind, în general, eforturi pentru a contracara abaterile disciplinare. </w:t>
      </w:r>
      <w:r w:rsidRPr="000C6E07">
        <w:rPr>
          <w:sz w:val="24"/>
          <w:szCs w:val="24"/>
          <w:lang w:val="ro-RO" w:eastAsia="ro-RO"/>
        </w:rPr>
        <w:t xml:space="preserve">Doar în anul 2024 au fost aplicate 247 de sancțiuni pentru polițiști și carabinieri. Cele mai dese motive de sancționare în cazul angajaților IGP au fost neglijență în exercitarea obligațiilor de serviciu (26 de cazuri), neutilizarea camerelor de corp (24 cazuri) și </w:t>
      </w:r>
      <w:proofErr w:type="spellStart"/>
      <w:r w:rsidRPr="000C6E07">
        <w:rPr>
          <w:sz w:val="24"/>
          <w:szCs w:val="24"/>
          <w:lang w:val="ro-RO" w:eastAsia="ro-RO"/>
        </w:rPr>
        <w:t>nedocumentarea</w:t>
      </w:r>
      <w:proofErr w:type="spellEnd"/>
      <w:r w:rsidRPr="000C6E07">
        <w:rPr>
          <w:sz w:val="24"/>
          <w:szCs w:val="24"/>
          <w:lang w:val="ro-RO" w:eastAsia="ro-RO"/>
        </w:rPr>
        <w:t xml:space="preserve"> accidentelor și a încălcărilor din traficul rutier (22). În cazul carabinierilor cele mai multe sancțiuni au fost aplicate pe motiv de îndeplinirea necorespunzătoare a atribuțiilor de serviciu (19) și încălcarea prevederilor Codului de etică și deontologie a militarului (16). (Tabelul 4).</w:t>
      </w:r>
    </w:p>
    <w:p w14:paraId="4351B1A1" w14:textId="77777777" w:rsidR="000C6E07" w:rsidRPr="000C6E07" w:rsidRDefault="000C6E07" w:rsidP="005349DF">
      <w:pPr>
        <w:spacing w:before="120" w:after="0"/>
        <w:ind w:firstLine="539"/>
        <w:jc w:val="center"/>
        <w:rPr>
          <w:b/>
          <w:sz w:val="24"/>
          <w:szCs w:val="24"/>
          <w:lang w:val="ro-RO" w:eastAsia="ro-RO"/>
        </w:rPr>
      </w:pPr>
      <w:r w:rsidRPr="000C6E07">
        <w:rPr>
          <w:b/>
          <w:sz w:val="24"/>
          <w:szCs w:val="24"/>
          <w:lang w:val="ro-RO" w:eastAsia="ro-RO"/>
        </w:rPr>
        <w:t>Tabelul 4. Sancțiuni disciplinare aplicate angajaților IGP și IGC</w:t>
      </w:r>
    </w:p>
    <w:tbl>
      <w:tblPr>
        <w:tblW w:w="9892" w:type="dxa"/>
        <w:jc w:val="center"/>
        <w:tblLook w:val="04A0" w:firstRow="1" w:lastRow="0" w:firstColumn="1" w:lastColumn="0" w:noHBand="0" w:noVBand="1"/>
      </w:tblPr>
      <w:tblGrid>
        <w:gridCol w:w="2972"/>
        <w:gridCol w:w="1160"/>
        <w:gridCol w:w="960"/>
        <w:gridCol w:w="960"/>
        <w:gridCol w:w="960"/>
        <w:gridCol w:w="960"/>
        <w:gridCol w:w="960"/>
        <w:gridCol w:w="960"/>
      </w:tblGrid>
      <w:tr w:rsidR="000C6E07" w:rsidRPr="000C6E07" w14:paraId="33094E62" w14:textId="77777777" w:rsidTr="003679EA">
        <w:trPr>
          <w:trHeight w:val="260"/>
          <w:jc w:val="center"/>
        </w:trPr>
        <w:tc>
          <w:tcPr>
            <w:tcW w:w="2972" w:type="dxa"/>
            <w:vMerge w:val="restart"/>
            <w:tcBorders>
              <w:top w:val="single" w:sz="4" w:space="0" w:color="auto"/>
              <w:left w:val="single" w:sz="4" w:space="0" w:color="auto"/>
              <w:right w:val="single" w:sz="4" w:space="0" w:color="auto"/>
            </w:tcBorders>
            <w:vAlign w:val="center"/>
            <w:hideMark/>
          </w:tcPr>
          <w:p w14:paraId="30183605" w14:textId="77777777" w:rsidR="000C6E07" w:rsidRPr="000C6E07" w:rsidRDefault="000C6E07" w:rsidP="000C6E07">
            <w:pPr>
              <w:spacing w:after="0"/>
              <w:jc w:val="both"/>
              <w:rPr>
                <w:b/>
                <w:bCs/>
                <w:color w:val="000000"/>
                <w:sz w:val="20"/>
                <w:szCs w:val="20"/>
                <w:lang w:val="ro-RO"/>
              </w:rPr>
            </w:pPr>
            <w:r w:rsidRPr="000C6E07">
              <w:rPr>
                <w:b/>
                <w:bCs/>
                <w:color w:val="000000"/>
                <w:sz w:val="20"/>
                <w:szCs w:val="20"/>
                <w:lang w:val="ro-RO"/>
              </w:rPr>
              <w:t>Sancțiuni disciplinare</w:t>
            </w:r>
          </w:p>
        </w:tc>
        <w:tc>
          <w:tcPr>
            <w:tcW w:w="1160" w:type="dxa"/>
            <w:tcBorders>
              <w:top w:val="single" w:sz="4" w:space="0" w:color="auto"/>
              <w:left w:val="nil"/>
              <w:bottom w:val="single" w:sz="4" w:space="0" w:color="auto"/>
              <w:right w:val="single" w:sz="4" w:space="0" w:color="auto"/>
            </w:tcBorders>
            <w:vAlign w:val="center"/>
            <w:hideMark/>
          </w:tcPr>
          <w:p w14:paraId="2BDD3110"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2021</w:t>
            </w: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5FB0051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2022</w:t>
            </w: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7EBFE166"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2023</w:t>
            </w:r>
          </w:p>
        </w:tc>
        <w:tc>
          <w:tcPr>
            <w:tcW w:w="1920" w:type="dxa"/>
            <w:gridSpan w:val="2"/>
            <w:tcBorders>
              <w:top w:val="single" w:sz="4" w:space="0" w:color="auto"/>
              <w:left w:val="single" w:sz="4" w:space="0" w:color="auto"/>
              <w:bottom w:val="single" w:sz="4" w:space="0" w:color="auto"/>
              <w:right w:val="single" w:sz="4" w:space="0" w:color="auto"/>
            </w:tcBorders>
            <w:vAlign w:val="center"/>
          </w:tcPr>
          <w:p w14:paraId="2237000A"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2024</w:t>
            </w:r>
          </w:p>
        </w:tc>
      </w:tr>
      <w:tr w:rsidR="000C6E07" w:rsidRPr="000C6E07" w14:paraId="56485530" w14:textId="77777777" w:rsidTr="003679EA">
        <w:trPr>
          <w:trHeight w:val="260"/>
          <w:jc w:val="center"/>
        </w:trPr>
        <w:tc>
          <w:tcPr>
            <w:tcW w:w="2972" w:type="dxa"/>
            <w:vMerge/>
            <w:tcBorders>
              <w:left w:val="single" w:sz="4" w:space="0" w:color="auto"/>
              <w:bottom w:val="single" w:sz="4" w:space="0" w:color="auto"/>
              <w:right w:val="single" w:sz="4" w:space="0" w:color="auto"/>
            </w:tcBorders>
            <w:vAlign w:val="center"/>
          </w:tcPr>
          <w:p w14:paraId="0710DBC6" w14:textId="77777777" w:rsidR="000C6E07" w:rsidRPr="000C6E07" w:rsidRDefault="000C6E07" w:rsidP="000C6E07">
            <w:pPr>
              <w:spacing w:after="0"/>
              <w:jc w:val="both"/>
              <w:rPr>
                <w:b/>
                <w:bCs/>
                <w:color w:val="000000"/>
                <w:sz w:val="20"/>
                <w:szCs w:val="20"/>
                <w:lang w:val="ro-RO"/>
              </w:rPr>
            </w:pP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CCBEA10"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c>
          <w:tcPr>
            <w:tcW w:w="960" w:type="dxa"/>
            <w:tcBorders>
              <w:top w:val="single" w:sz="4" w:space="0" w:color="auto"/>
              <w:left w:val="single" w:sz="4" w:space="0" w:color="auto"/>
              <w:bottom w:val="single" w:sz="4" w:space="0" w:color="auto"/>
              <w:right w:val="single" w:sz="4" w:space="0" w:color="auto"/>
            </w:tcBorders>
            <w:vAlign w:val="center"/>
          </w:tcPr>
          <w:p w14:paraId="25DF24F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IGC</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9986DE"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c>
          <w:tcPr>
            <w:tcW w:w="960" w:type="dxa"/>
            <w:tcBorders>
              <w:top w:val="single" w:sz="4" w:space="0" w:color="auto"/>
              <w:left w:val="single" w:sz="4" w:space="0" w:color="auto"/>
              <w:bottom w:val="single" w:sz="4" w:space="0" w:color="auto"/>
              <w:right w:val="single" w:sz="4" w:space="0" w:color="auto"/>
            </w:tcBorders>
            <w:vAlign w:val="center"/>
          </w:tcPr>
          <w:p w14:paraId="28D7F7DF"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IGC</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4CFE5B"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c>
          <w:tcPr>
            <w:tcW w:w="960" w:type="dxa"/>
            <w:tcBorders>
              <w:top w:val="single" w:sz="4" w:space="0" w:color="auto"/>
              <w:left w:val="single" w:sz="4" w:space="0" w:color="auto"/>
              <w:bottom w:val="single" w:sz="4" w:space="0" w:color="auto"/>
              <w:right w:val="single" w:sz="4" w:space="0" w:color="auto"/>
            </w:tcBorders>
            <w:vAlign w:val="center"/>
          </w:tcPr>
          <w:p w14:paraId="24C6A275"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IGC</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531B39" w14:textId="77777777" w:rsidR="000C6E07" w:rsidRPr="000C6E07" w:rsidRDefault="000C6E07" w:rsidP="000C6E07">
            <w:pPr>
              <w:spacing w:after="0"/>
              <w:jc w:val="center"/>
              <w:rPr>
                <w:b/>
                <w:bCs/>
                <w:color w:val="000000"/>
                <w:sz w:val="20"/>
                <w:szCs w:val="20"/>
                <w:lang w:val="ro-RO"/>
              </w:rPr>
            </w:pPr>
            <w:r w:rsidRPr="000C6E07">
              <w:rPr>
                <w:b/>
                <w:bCs/>
                <w:color w:val="000000"/>
                <w:sz w:val="20"/>
                <w:szCs w:val="20"/>
                <w:lang w:val="ro-RO"/>
              </w:rPr>
              <w:t>IGP</w:t>
            </w:r>
          </w:p>
        </w:tc>
      </w:tr>
      <w:tr w:rsidR="000C6E07" w:rsidRPr="000C6E07" w14:paraId="66E68466"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2FF8F977"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avertisment”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D871AB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4318486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9D74C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494B67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26</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29402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91</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18F369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2D321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62</w:t>
            </w:r>
          </w:p>
        </w:tc>
      </w:tr>
      <w:tr w:rsidR="000C6E07" w:rsidRPr="000C6E07" w14:paraId="334C38F1"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34722F2C"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mustrare</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B8876F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D489C3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9F17C5"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77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035FB63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DE00B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24CD86A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15</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B39446"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39</w:t>
            </w:r>
          </w:p>
        </w:tc>
      </w:tr>
      <w:tr w:rsidR="000C6E07" w:rsidRPr="000C6E07" w14:paraId="778CCF6D"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0E31449A"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mustrare aspră</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32193A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0A29262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A8CB5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18E363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7</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C2420E"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26CF2C5"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9</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AA47A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40</w:t>
            </w:r>
          </w:p>
        </w:tc>
      </w:tr>
      <w:tr w:rsidR="000C6E07" w:rsidRPr="000C6E07" w14:paraId="214EBBE0"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6FFE740B" w14:textId="77777777" w:rsidR="000C6E07" w:rsidRPr="000C6E07" w:rsidRDefault="000C6E07" w:rsidP="003679EA">
            <w:pPr>
              <w:spacing w:after="0"/>
              <w:rPr>
                <w:color w:val="000000"/>
                <w:sz w:val="20"/>
                <w:szCs w:val="20"/>
                <w:lang w:val="ro-RO"/>
              </w:rPr>
            </w:pPr>
            <w:r w:rsidRPr="000C6E07">
              <w:rPr>
                <w:color w:val="000000"/>
                <w:sz w:val="20"/>
                <w:szCs w:val="20"/>
                <w:lang w:val="ro-RO"/>
              </w:rPr>
              <w:t>angajați sancționați „</w:t>
            </w:r>
            <w:r w:rsidRPr="000C6E07">
              <w:rPr>
                <w:i/>
                <w:iCs/>
                <w:color w:val="000000"/>
                <w:sz w:val="20"/>
                <w:szCs w:val="20"/>
                <w:lang w:val="ro-RO"/>
              </w:rPr>
              <w:t>retrogradare cu un grad special”</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0FB6B61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6F757AEE"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F9FB1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79227A4B"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BA8063"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FDC3A99"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EC0B0E2"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r>
      <w:tr w:rsidR="000C6E07" w:rsidRPr="000C6E07" w14:paraId="3CBAE3E3"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648A37D2"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cu „</w:t>
            </w:r>
            <w:r w:rsidRPr="000C6E07">
              <w:rPr>
                <w:i/>
                <w:iCs/>
                <w:color w:val="000000"/>
                <w:sz w:val="20"/>
                <w:szCs w:val="20"/>
                <w:lang w:val="ro-RO"/>
              </w:rPr>
              <w:t>retrogradare în funcție</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58C5D0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4D9213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DD299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7</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0791F03C"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B9E7DF"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12</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6B0100B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85813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5</w:t>
            </w:r>
          </w:p>
        </w:tc>
      </w:tr>
      <w:tr w:rsidR="000C6E07" w:rsidRPr="000C6E07" w14:paraId="240C9196"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68C54B30" w14:textId="77777777" w:rsidR="000C6E07" w:rsidRPr="000C6E07" w:rsidRDefault="000C6E07" w:rsidP="000C6E07">
            <w:pPr>
              <w:spacing w:after="0"/>
              <w:jc w:val="both"/>
              <w:rPr>
                <w:color w:val="000000"/>
                <w:sz w:val="20"/>
                <w:szCs w:val="20"/>
                <w:lang w:val="ro-RO"/>
              </w:rPr>
            </w:pPr>
            <w:r w:rsidRPr="000C6E07">
              <w:rPr>
                <w:color w:val="000000"/>
                <w:sz w:val="20"/>
                <w:szCs w:val="20"/>
                <w:lang w:val="ro-RO"/>
              </w:rPr>
              <w:t>angajați sancționați disciplinar cu  „</w:t>
            </w:r>
            <w:r w:rsidRPr="000C6E07">
              <w:rPr>
                <w:i/>
                <w:iCs/>
                <w:color w:val="000000"/>
                <w:sz w:val="20"/>
                <w:szCs w:val="20"/>
                <w:lang w:val="ro-RO"/>
              </w:rPr>
              <w:t>concediere</w:t>
            </w:r>
            <w:r w:rsidRPr="000C6E07">
              <w:rPr>
                <w:color w:val="000000"/>
                <w:sz w:val="20"/>
                <w:szCs w:val="20"/>
                <w:lang w:val="ro-RO"/>
              </w:rPr>
              <w:t>”</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3E2547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4CCF45E0"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10</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B88AE6"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30B5824E"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4</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54C1A1"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26</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5495086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70BCEC"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30</w:t>
            </w:r>
          </w:p>
        </w:tc>
      </w:tr>
      <w:tr w:rsidR="000C6E07" w:rsidRPr="000C6E07" w14:paraId="7B866E6D" w14:textId="77777777" w:rsidTr="003679EA">
        <w:trPr>
          <w:trHeight w:val="260"/>
          <w:jc w:val="center"/>
        </w:trPr>
        <w:tc>
          <w:tcPr>
            <w:tcW w:w="2972" w:type="dxa"/>
            <w:tcBorders>
              <w:top w:val="nil"/>
              <w:left w:val="single" w:sz="4" w:space="0" w:color="auto"/>
              <w:bottom w:val="single" w:sz="4" w:space="0" w:color="auto"/>
              <w:right w:val="single" w:sz="4" w:space="0" w:color="auto"/>
            </w:tcBorders>
            <w:shd w:val="clear" w:color="000000" w:fill="FFFFFF"/>
            <w:vAlign w:val="center"/>
            <w:hideMark/>
          </w:tcPr>
          <w:p w14:paraId="1139F80B" w14:textId="77777777" w:rsidR="000C6E07" w:rsidRPr="000C6E07" w:rsidRDefault="000C6E07" w:rsidP="000C6E07">
            <w:pPr>
              <w:spacing w:after="0"/>
              <w:jc w:val="both"/>
              <w:rPr>
                <w:b/>
                <w:bCs/>
                <w:color w:val="000000"/>
                <w:sz w:val="20"/>
                <w:szCs w:val="20"/>
                <w:lang w:val="ro-RO"/>
              </w:rPr>
            </w:pPr>
            <w:r w:rsidRPr="000C6E07">
              <w:rPr>
                <w:b/>
                <w:bCs/>
                <w:color w:val="000000"/>
                <w:sz w:val="20"/>
                <w:szCs w:val="20"/>
                <w:lang w:val="ro-RO"/>
              </w:rPr>
              <w:t>Total</w:t>
            </w:r>
          </w:p>
        </w:tc>
        <w:tc>
          <w:tcPr>
            <w:tcW w:w="11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7ED7B96"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270</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6CAB0F2B"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76</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71D130"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255</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1E732649"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48</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907E22"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198</w:t>
            </w:r>
          </w:p>
        </w:tc>
        <w:tc>
          <w:tcPr>
            <w:tcW w:w="960" w:type="dxa"/>
            <w:tcBorders>
              <w:top w:val="single" w:sz="4" w:space="0" w:color="auto"/>
              <w:left w:val="single" w:sz="4" w:space="0" w:color="auto"/>
              <w:bottom w:val="single" w:sz="4" w:space="0" w:color="auto"/>
              <w:right w:val="single" w:sz="4" w:space="0" w:color="auto"/>
            </w:tcBorders>
            <w:shd w:val="clear" w:color="000000" w:fill="FFFFFF"/>
            <w:vAlign w:val="center"/>
          </w:tcPr>
          <w:p w14:paraId="3C43C05C"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69</w:t>
            </w:r>
          </w:p>
        </w:tc>
        <w:tc>
          <w:tcPr>
            <w:tcW w:w="9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375361"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178</w:t>
            </w:r>
          </w:p>
        </w:tc>
      </w:tr>
    </w:tbl>
    <w:p w14:paraId="6F4742A8" w14:textId="77777777" w:rsidR="000C6E07" w:rsidRPr="000C6E07" w:rsidRDefault="000C6E07" w:rsidP="005349DF">
      <w:pPr>
        <w:spacing w:before="120" w:after="0"/>
        <w:ind w:firstLine="539"/>
        <w:jc w:val="center"/>
        <w:rPr>
          <w:b/>
          <w:sz w:val="24"/>
          <w:szCs w:val="24"/>
          <w:lang w:val="ro-RO" w:eastAsia="ro-RO"/>
        </w:rPr>
      </w:pPr>
      <w:r w:rsidRPr="000C6E07">
        <w:rPr>
          <w:b/>
          <w:sz w:val="24"/>
          <w:szCs w:val="24"/>
          <w:lang w:val="ro-RO" w:eastAsia="ro-RO"/>
        </w:rPr>
        <w:t>Tabelul 5. Motivele sancțiunilor disciplinare aplicate angajaților IGP și IGC (2024)</w:t>
      </w:r>
    </w:p>
    <w:tbl>
      <w:tblPr>
        <w:tblW w:w="9639" w:type="dxa"/>
        <w:jc w:val="center"/>
        <w:tblLook w:val="04A0" w:firstRow="1" w:lastRow="0" w:firstColumn="1" w:lastColumn="0" w:noHBand="0" w:noVBand="1"/>
      </w:tblPr>
      <w:tblGrid>
        <w:gridCol w:w="3686"/>
        <w:gridCol w:w="1028"/>
        <w:gridCol w:w="222"/>
        <w:gridCol w:w="3524"/>
        <w:gridCol w:w="1179"/>
      </w:tblGrid>
      <w:tr w:rsidR="000C6E07" w:rsidRPr="000C6E07" w14:paraId="5C0486B2" w14:textId="77777777" w:rsidTr="000C6E07">
        <w:trPr>
          <w:trHeight w:val="270"/>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1BD51900" w14:textId="77777777" w:rsidR="000C6E07" w:rsidRPr="000C6E07" w:rsidRDefault="000C6E07" w:rsidP="000C6E07">
            <w:pPr>
              <w:spacing w:after="0"/>
              <w:rPr>
                <w:b/>
                <w:color w:val="000000"/>
                <w:sz w:val="20"/>
                <w:szCs w:val="20"/>
                <w:lang w:val="ro-RO"/>
              </w:rPr>
            </w:pPr>
            <w:r w:rsidRPr="000C6E07">
              <w:rPr>
                <w:b/>
                <w:color w:val="000000"/>
                <w:sz w:val="20"/>
                <w:szCs w:val="20"/>
                <w:lang w:val="ro-RO"/>
              </w:rPr>
              <w:t>Motivul sancțiunii (2024) IGP</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92CD31D"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Sancțiuni</w:t>
            </w:r>
          </w:p>
        </w:tc>
        <w:tc>
          <w:tcPr>
            <w:tcW w:w="222" w:type="dxa"/>
            <w:tcBorders>
              <w:left w:val="single" w:sz="4" w:space="0" w:color="auto"/>
              <w:right w:val="single" w:sz="4" w:space="0" w:color="auto"/>
            </w:tcBorders>
          </w:tcPr>
          <w:p w14:paraId="27ABEFA1" w14:textId="77777777" w:rsidR="000C6E07" w:rsidRPr="000C6E07" w:rsidRDefault="000C6E07" w:rsidP="000C6E07">
            <w:pPr>
              <w:spacing w:after="0"/>
              <w:jc w:val="center"/>
              <w:rPr>
                <w:b/>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vAlign w:val="center"/>
          </w:tcPr>
          <w:p w14:paraId="0A14C324" w14:textId="77777777" w:rsidR="000C6E07" w:rsidRPr="000C6E07" w:rsidRDefault="000C6E07" w:rsidP="000C6E07">
            <w:pPr>
              <w:spacing w:after="0"/>
              <w:rPr>
                <w:b/>
                <w:color w:val="000000"/>
                <w:sz w:val="20"/>
                <w:szCs w:val="20"/>
                <w:lang w:val="ro-RO"/>
              </w:rPr>
            </w:pPr>
            <w:r w:rsidRPr="000C6E07">
              <w:rPr>
                <w:b/>
                <w:color w:val="000000"/>
                <w:sz w:val="20"/>
                <w:szCs w:val="20"/>
                <w:lang w:val="ro-RO"/>
              </w:rPr>
              <w:t>Motivul sancțiunii (2024) IGC</w:t>
            </w:r>
          </w:p>
        </w:tc>
        <w:tc>
          <w:tcPr>
            <w:tcW w:w="1179" w:type="dxa"/>
            <w:tcBorders>
              <w:top w:val="single" w:sz="4" w:space="0" w:color="auto"/>
              <w:left w:val="single" w:sz="4" w:space="0" w:color="auto"/>
              <w:bottom w:val="single" w:sz="4" w:space="0" w:color="auto"/>
              <w:right w:val="single" w:sz="4" w:space="0" w:color="auto"/>
            </w:tcBorders>
            <w:vAlign w:val="center"/>
          </w:tcPr>
          <w:p w14:paraId="598EF2C6" w14:textId="77777777" w:rsidR="000C6E07" w:rsidRPr="000C6E07" w:rsidRDefault="000C6E07" w:rsidP="000C6E07">
            <w:pPr>
              <w:spacing w:after="0"/>
              <w:jc w:val="center"/>
              <w:rPr>
                <w:b/>
                <w:color w:val="000000"/>
                <w:sz w:val="20"/>
                <w:szCs w:val="20"/>
                <w:lang w:val="ro-RO"/>
              </w:rPr>
            </w:pPr>
            <w:r w:rsidRPr="000C6E07">
              <w:rPr>
                <w:b/>
                <w:color w:val="000000"/>
                <w:sz w:val="20"/>
                <w:szCs w:val="20"/>
                <w:lang w:val="ro-RO"/>
              </w:rPr>
              <w:t>Sancțiuni</w:t>
            </w:r>
          </w:p>
        </w:tc>
      </w:tr>
      <w:tr w:rsidR="000C6E07" w:rsidRPr="000C6E07" w14:paraId="6F38B1BF"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042AA" w14:textId="77777777" w:rsidR="000C6E07" w:rsidRPr="000C6E07" w:rsidRDefault="000C6E07" w:rsidP="000C6E07">
            <w:pPr>
              <w:spacing w:after="0"/>
              <w:rPr>
                <w:color w:val="000000"/>
                <w:sz w:val="20"/>
                <w:szCs w:val="20"/>
                <w:lang w:val="ro-RO"/>
              </w:rPr>
            </w:pPr>
            <w:r w:rsidRPr="000C6E07">
              <w:rPr>
                <w:color w:val="000000"/>
                <w:sz w:val="20"/>
                <w:szCs w:val="20"/>
                <w:lang w:val="ro-RO"/>
              </w:rPr>
              <w:t xml:space="preserve"> Neutilizarea camerelor de corp</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FA5217"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24</w:t>
            </w:r>
          </w:p>
        </w:tc>
        <w:tc>
          <w:tcPr>
            <w:tcW w:w="222" w:type="dxa"/>
            <w:tcBorders>
              <w:left w:val="single" w:sz="4" w:space="0" w:color="auto"/>
              <w:right w:val="single" w:sz="4" w:space="0" w:color="auto"/>
            </w:tcBorders>
          </w:tcPr>
          <w:p w14:paraId="662C307E"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484D4071" w14:textId="77777777" w:rsidR="000C6E07" w:rsidRPr="000C6E07" w:rsidRDefault="000C6E07" w:rsidP="000C6E07">
            <w:pPr>
              <w:spacing w:after="0"/>
              <w:rPr>
                <w:color w:val="000000"/>
                <w:sz w:val="20"/>
                <w:szCs w:val="20"/>
                <w:lang w:val="ro-RO"/>
              </w:rPr>
            </w:pPr>
            <w:r w:rsidRPr="000C6E07">
              <w:rPr>
                <w:color w:val="000000"/>
                <w:sz w:val="20"/>
                <w:szCs w:val="20"/>
                <w:lang w:val="ro-RO"/>
              </w:rPr>
              <w:t xml:space="preserve">Acțiuni/inacțiuni prin îndeplinirea necorespunzătoare a atribuțiilor de serviciu </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56AE13C1" w14:textId="77777777" w:rsidR="000C6E07" w:rsidRPr="000C6E07" w:rsidRDefault="000C6E07" w:rsidP="000C6E07">
            <w:pPr>
              <w:jc w:val="center"/>
              <w:rPr>
                <w:color w:val="000000"/>
                <w:sz w:val="20"/>
                <w:szCs w:val="20"/>
                <w:lang w:val="ro-RO"/>
              </w:rPr>
            </w:pPr>
            <w:r w:rsidRPr="000C6E07">
              <w:rPr>
                <w:color w:val="000000"/>
                <w:sz w:val="20"/>
                <w:szCs w:val="20"/>
                <w:lang w:val="ro-RO"/>
              </w:rPr>
              <w:t>19</w:t>
            </w:r>
          </w:p>
        </w:tc>
      </w:tr>
      <w:tr w:rsidR="000C6E07" w:rsidRPr="000C6E07" w14:paraId="356434E7"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7D608" w14:textId="77777777" w:rsidR="000C6E07" w:rsidRPr="000C6E07" w:rsidRDefault="000C6E07" w:rsidP="000C6E07">
            <w:pPr>
              <w:spacing w:after="0"/>
              <w:rPr>
                <w:color w:val="000000"/>
                <w:sz w:val="20"/>
                <w:szCs w:val="20"/>
                <w:lang w:val="ro-RO"/>
              </w:rPr>
            </w:pPr>
            <w:proofErr w:type="spellStart"/>
            <w:r w:rsidRPr="000C6E07">
              <w:rPr>
                <w:color w:val="000000"/>
                <w:sz w:val="20"/>
                <w:szCs w:val="20"/>
                <w:lang w:val="ro-RO"/>
              </w:rPr>
              <w:t>Nedocumentarea</w:t>
            </w:r>
            <w:proofErr w:type="spellEnd"/>
            <w:r w:rsidRPr="000C6E07">
              <w:rPr>
                <w:color w:val="000000"/>
                <w:sz w:val="20"/>
                <w:szCs w:val="20"/>
                <w:lang w:val="ro-RO"/>
              </w:rPr>
              <w:t xml:space="preserve"> accidentelor și a încălcărilor din traficul rutier</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AAF59A"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22</w:t>
            </w:r>
          </w:p>
        </w:tc>
        <w:tc>
          <w:tcPr>
            <w:tcW w:w="222" w:type="dxa"/>
            <w:tcBorders>
              <w:left w:val="single" w:sz="4" w:space="0" w:color="auto"/>
              <w:right w:val="single" w:sz="4" w:space="0" w:color="auto"/>
            </w:tcBorders>
          </w:tcPr>
          <w:p w14:paraId="199D0929"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3875392B" w14:textId="77777777" w:rsidR="000C6E07" w:rsidRPr="000C6E07" w:rsidRDefault="000C6E07" w:rsidP="000C6E07">
            <w:pPr>
              <w:spacing w:after="0"/>
              <w:rPr>
                <w:color w:val="000000"/>
                <w:sz w:val="20"/>
                <w:szCs w:val="20"/>
                <w:lang w:val="ro-RO"/>
              </w:rPr>
            </w:pPr>
            <w:r w:rsidRPr="000C6E07">
              <w:rPr>
                <w:color w:val="000000"/>
                <w:sz w:val="20"/>
                <w:szCs w:val="20"/>
                <w:lang w:val="ro-RO"/>
              </w:rPr>
              <w:t>Încălcarea prevederilor Codului de etică și deontologie a militarului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041F0735" w14:textId="77777777" w:rsidR="000C6E07" w:rsidRPr="000C6E07" w:rsidRDefault="000C6E07" w:rsidP="000C6E07">
            <w:pPr>
              <w:jc w:val="center"/>
              <w:rPr>
                <w:color w:val="000000"/>
                <w:sz w:val="20"/>
                <w:szCs w:val="20"/>
                <w:lang w:val="ro-RO"/>
              </w:rPr>
            </w:pPr>
            <w:r w:rsidRPr="000C6E07">
              <w:rPr>
                <w:color w:val="000000"/>
                <w:sz w:val="20"/>
                <w:szCs w:val="20"/>
                <w:lang w:val="ro-RO"/>
              </w:rPr>
              <w:t>16</w:t>
            </w:r>
          </w:p>
        </w:tc>
      </w:tr>
      <w:tr w:rsidR="000C6E07" w:rsidRPr="000C6E07" w14:paraId="46226C2A"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4E41AE" w14:textId="77777777" w:rsidR="000C6E07" w:rsidRPr="000C6E07" w:rsidRDefault="000C6E07" w:rsidP="000C6E07">
            <w:pPr>
              <w:spacing w:after="0"/>
              <w:rPr>
                <w:color w:val="000000"/>
                <w:sz w:val="20"/>
                <w:szCs w:val="20"/>
                <w:lang w:val="ro-RO"/>
              </w:rPr>
            </w:pPr>
            <w:r w:rsidRPr="000C6E07">
              <w:rPr>
                <w:color w:val="000000"/>
                <w:sz w:val="20"/>
                <w:szCs w:val="20"/>
                <w:lang w:val="ro-RO"/>
              </w:rPr>
              <w:t>Neglijență în exercitarea obligațiilor de serviciu</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3AA028"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26</w:t>
            </w:r>
          </w:p>
        </w:tc>
        <w:tc>
          <w:tcPr>
            <w:tcW w:w="222" w:type="dxa"/>
            <w:tcBorders>
              <w:left w:val="single" w:sz="4" w:space="0" w:color="auto"/>
              <w:right w:val="single" w:sz="4" w:space="0" w:color="auto"/>
            </w:tcBorders>
          </w:tcPr>
          <w:p w14:paraId="251EE03F"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2C8D8FD4" w14:textId="77777777" w:rsidR="000C6E07" w:rsidRPr="000C6E07" w:rsidRDefault="000C6E07" w:rsidP="000C6E07">
            <w:pPr>
              <w:spacing w:after="0"/>
              <w:rPr>
                <w:color w:val="000000"/>
                <w:sz w:val="20"/>
                <w:szCs w:val="20"/>
                <w:lang w:val="ro-RO"/>
              </w:rPr>
            </w:pPr>
            <w:r w:rsidRPr="000C6E07">
              <w:rPr>
                <w:color w:val="000000"/>
                <w:sz w:val="20"/>
                <w:szCs w:val="20"/>
                <w:lang w:val="ro-RO"/>
              </w:rPr>
              <w:t>Încălcarea regimului de muncă</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4DD381AB" w14:textId="77777777" w:rsidR="000C6E07" w:rsidRPr="000C6E07" w:rsidRDefault="000C6E07" w:rsidP="000C6E07">
            <w:pPr>
              <w:jc w:val="center"/>
              <w:rPr>
                <w:color w:val="000000"/>
                <w:sz w:val="20"/>
                <w:szCs w:val="20"/>
                <w:lang w:val="ro-RO"/>
              </w:rPr>
            </w:pPr>
            <w:r w:rsidRPr="000C6E07">
              <w:rPr>
                <w:color w:val="000000"/>
                <w:sz w:val="20"/>
                <w:szCs w:val="20"/>
                <w:lang w:val="ro-RO"/>
              </w:rPr>
              <w:t>12</w:t>
            </w:r>
          </w:p>
        </w:tc>
      </w:tr>
      <w:tr w:rsidR="000C6E07" w:rsidRPr="000C6E07" w14:paraId="3193D20E"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9C6871" w14:textId="77777777" w:rsidR="000C6E07" w:rsidRPr="000C6E07" w:rsidRDefault="000C6E07" w:rsidP="000C6E07">
            <w:pPr>
              <w:spacing w:after="0"/>
              <w:rPr>
                <w:color w:val="000000"/>
                <w:sz w:val="20"/>
                <w:szCs w:val="20"/>
                <w:lang w:val="ro-RO"/>
              </w:rPr>
            </w:pPr>
            <w:r w:rsidRPr="000C6E07">
              <w:rPr>
                <w:color w:val="000000"/>
                <w:sz w:val="20"/>
                <w:szCs w:val="20"/>
                <w:lang w:val="ro-RO"/>
              </w:rPr>
              <w:t>Comportament care a denigrat imaginea și prestigiul instituției</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F8114" w14:textId="77777777" w:rsidR="000C6E07" w:rsidRPr="000C6E07" w:rsidRDefault="000C6E07" w:rsidP="000C6E07">
            <w:pPr>
              <w:spacing w:after="0"/>
              <w:jc w:val="center"/>
              <w:rPr>
                <w:color w:val="000000"/>
                <w:sz w:val="20"/>
                <w:szCs w:val="20"/>
                <w:lang w:val="ro-RO"/>
              </w:rPr>
            </w:pPr>
            <w:r w:rsidRPr="000C6E07">
              <w:rPr>
                <w:color w:val="000000"/>
                <w:sz w:val="20"/>
                <w:szCs w:val="20"/>
                <w:lang w:val="ro-RO"/>
              </w:rPr>
              <w:t>14</w:t>
            </w:r>
          </w:p>
        </w:tc>
        <w:tc>
          <w:tcPr>
            <w:tcW w:w="222" w:type="dxa"/>
            <w:tcBorders>
              <w:left w:val="single" w:sz="4" w:space="0" w:color="auto"/>
              <w:right w:val="single" w:sz="4" w:space="0" w:color="auto"/>
            </w:tcBorders>
          </w:tcPr>
          <w:p w14:paraId="62E7C7C9"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70E85CF5" w14:textId="77777777" w:rsidR="000C6E07" w:rsidRPr="000C6E07" w:rsidRDefault="000C6E07" w:rsidP="000C6E07">
            <w:pPr>
              <w:spacing w:after="0"/>
              <w:rPr>
                <w:color w:val="000000"/>
                <w:sz w:val="20"/>
                <w:szCs w:val="20"/>
                <w:lang w:val="ro-RO"/>
              </w:rPr>
            </w:pPr>
            <w:r w:rsidRPr="000C6E07">
              <w:rPr>
                <w:color w:val="000000"/>
                <w:sz w:val="20"/>
                <w:szCs w:val="20"/>
                <w:lang w:val="ro-RO"/>
              </w:rPr>
              <w:t>Pierderea legitimațiilor de serviciu</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1D431546" w14:textId="77777777" w:rsidR="000C6E07" w:rsidRPr="000C6E07" w:rsidRDefault="000C6E07" w:rsidP="000C6E07">
            <w:pPr>
              <w:jc w:val="center"/>
              <w:rPr>
                <w:color w:val="000000"/>
                <w:sz w:val="20"/>
                <w:szCs w:val="20"/>
                <w:lang w:val="ro-RO"/>
              </w:rPr>
            </w:pPr>
            <w:r w:rsidRPr="000C6E07">
              <w:rPr>
                <w:color w:val="000000"/>
                <w:sz w:val="20"/>
                <w:szCs w:val="20"/>
                <w:lang w:val="ro-RO"/>
              </w:rPr>
              <w:t>6</w:t>
            </w:r>
          </w:p>
        </w:tc>
      </w:tr>
      <w:tr w:rsidR="000C6E07" w:rsidRPr="000C6E07" w14:paraId="01808837"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EE42B3" w14:textId="77777777" w:rsidR="000C6E07" w:rsidRPr="000C6E07" w:rsidRDefault="000C6E07" w:rsidP="000C6E07">
            <w:pPr>
              <w:spacing w:after="0"/>
              <w:rPr>
                <w:sz w:val="20"/>
                <w:szCs w:val="20"/>
                <w:lang w:val="ro-RO"/>
              </w:rPr>
            </w:pPr>
            <w:r w:rsidRPr="000C6E07">
              <w:rPr>
                <w:sz w:val="20"/>
                <w:szCs w:val="20"/>
                <w:lang w:val="ro-RO"/>
              </w:rPr>
              <w:t>Prelucrarea neautorizată a datelor cu caracter personal</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8177CF" w14:textId="77777777" w:rsidR="000C6E07" w:rsidRPr="000C6E07" w:rsidRDefault="000C6E07" w:rsidP="000C6E07">
            <w:pPr>
              <w:spacing w:after="0"/>
              <w:jc w:val="center"/>
              <w:rPr>
                <w:sz w:val="20"/>
                <w:szCs w:val="20"/>
                <w:lang w:val="ro-RO"/>
              </w:rPr>
            </w:pPr>
            <w:r w:rsidRPr="000C6E07">
              <w:rPr>
                <w:sz w:val="20"/>
                <w:szCs w:val="20"/>
                <w:lang w:val="ro-RO"/>
              </w:rPr>
              <w:t>11</w:t>
            </w:r>
          </w:p>
        </w:tc>
        <w:tc>
          <w:tcPr>
            <w:tcW w:w="222" w:type="dxa"/>
            <w:tcBorders>
              <w:left w:val="single" w:sz="4" w:space="0" w:color="auto"/>
              <w:right w:val="single" w:sz="4" w:space="0" w:color="auto"/>
            </w:tcBorders>
          </w:tcPr>
          <w:p w14:paraId="32DE358A" w14:textId="77777777" w:rsidR="000C6E07" w:rsidRPr="000C6E07" w:rsidRDefault="000C6E07" w:rsidP="000C6E07">
            <w:pPr>
              <w:spacing w:after="0"/>
              <w:jc w:val="center"/>
              <w:rPr>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11B8B3D8" w14:textId="77777777" w:rsidR="000C6E07" w:rsidRPr="000C6E07" w:rsidRDefault="000C6E07" w:rsidP="000C6E07">
            <w:pPr>
              <w:spacing w:after="0"/>
              <w:rPr>
                <w:sz w:val="20"/>
                <w:szCs w:val="20"/>
                <w:lang w:val="ro-RO"/>
              </w:rPr>
            </w:pPr>
            <w:r w:rsidRPr="000C6E07">
              <w:rPr>
                <w:sz w:val="20"/>
                <w:szCs w:val="20"/>
                <w:lang w:val="ro-RO"/>
              </w:rPr>
              <w:t>Alte încălcări improprii statutului militarului</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75D82E99" w14:textId="77777777" w:rsidR="000C6E07" w:rsidRPr="000C6E07" w:rsidRDefault="000C6E07" w:rsidP="000C6E07">
            <w:pPr>
              <w:jc w:val="center"/>
              <w:rPr>
                <w:sz w:val="20"/>
                <w:szCs w:val="20"/>
                <w:lang w:val="ro-RO"/>
              </w:rPr>
            </w:pPr>
            <w:r w:rsidRPr="000C6E07">
              <w:rPr>
                <w:sz w:val="20"/>
                <w:szCs w:val="20"/>
                <w:lang w:val="ro-RO"/>
              </w:rPr>
              <w:t>16</w:t>
            </w:r>
          </w:p>
        </w:tc>
      </w:tr>
      <w:tr w:rsidR="000C6E07" w:rsidRPr="000C6E07" w14:paraId="6D142FD5"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F6575C" w14:textId="77777777" w:rsidR="000C6E07" w:rsidRPr="000C6E07" w:rsidRDefault="000C6E07" w:rsidP="000C6E07">
            <w:pPr>
              <w:spacing w:after="0"/>
              <w:rPr>
                <w:sz w:val="20"/>
                <w:szCs w:val="20"/>
                <w:lang w:val="ro-RO"/>
              </w:rPr>
            </w:pPr>
            <w:r w:rsidRPr="000C6E07">
              <w:rPr>
                <w:sz w:val="20"/>
                <w:szCs w:val="20"/>
                <w:lang w:val="ro-RO"/>
              </w:rPr>
              <w:t>Neraportarea faptelor de corupție</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232CD" w14:textId="77777777" w:rsidR="000C6E07" w:rsidRPr="000C6E07" w:rsidRDefault="000C6E07" w:rsidP="000C6E07">
            <w:pPr>
              <w:spacing w:after="0"/>
              <w:jc w:val="center"/>
              <w:rPr>
                <w:sz w:val="20"/>
                <w:szCs w:val="20"/>
                <w:lang w:val="ro-RO"/>
              </w:rPr>
            </w:pPr>
            <w:r w:rsidRPr="000C6E07">
              <w:rPr>
                <w:sz w:val="20"/>
                <w:szCs w:val="20"/>
                <w:lang w:val="ro-RO"/>
              </w:rPr>
              <w:t>10</w:t>
            </w:r>
          </w:p>
        </w:tc>
        <w:tc>
          <w:tcPr>
            <w:tcW w:w="222" w:type="dxa"/>
            <w:tcBorders>
              <w:left w:val="single" w:sz="4" w:space="0" w:color="auto"/>
              <w:right w:val="single" w:sz="4" w:space="0" w:color="auto"/>
            </w:tcBorders>
          </w:tcPr>
          <w:p w14:paraId="78E3A142" w14:textId="77777777" w:rsidR="000C6E07" w:rsidRPr="000C6E07" w:rsidRDefault="000C6E07" w:rsidP="000C6E07">
            <w:pPr>
              <w:spacing w:after="0"/>
              <w:jc w:val="center"/>
              <w:rPr>
                <w:sz w:val="20"/>
                <w:szCs w:val="20"/>
                <w:lang w:val="ro-RO"/>
              </w:rPr>
            </w:pPr>
          </w:p>
        </w:tc>
        <w:tc>
          <w:tcPr>
            <w:tcW w:w="3524" w:type="dxa"/>
            <w:tcBorders>
              <w:top w:val="single" w:sz="4" w:space="0" w:color="auto"/>
              <w:left w:val="single" w:sz="4" w:space="0" w:color="auto"/>
              <w:bottom w:val="single" w:sz="4" w:space="0" w:color="auto"/>
              <w:right w:val="single" w:sz="4" w:space="0" w:color="auto"/>
            </w:tcBorders>
            <w:shd w:val="clear" w:color="000000" w:fill="FFFFFF"/>
            <w:vAlign w:val="center"/>
          </w:tcPr>
          <w:p w14:paraId="4FAE696C" w14:textId="77777777" w:rsidR="000C6E07" w:rsidRPr="000C6E07" w:rsidRDefault="000C6E07" w:rsidP="000C6E07">
            <w:pPr>
              <w:spacing w:after="0"/>
              <w:rPr>
                <w:b/>
                <w:bCs/>
                <w:sz w:val="20"/>
                <w:szCs w:val="20"/>
                <w:lang w:val="ro-RO"/>
              </w:rPr>
            </w:pPr>
            <w:r w:rsidRPr="000C6E07">
              <w:rPr>
                <w:b/>
                <w:bCs/>
                <w:sz w:val="20"/>
                <w:szCs w:val="20"/>
                <w:lang w:val="ro-RO"/>
              </w:rPr>
              <w:t>Total</w:t>
            </w:r>
          </w:p>
        </w:tc>
        <w:tc>
          <w:tcPr>
            <w:tcW w:w="1179" w:type="dxa"/>
            <w:tcBorders>
              <w:top w:val="single" w:sz="4" w:space="0" w:color="auto"/>
              <w:left w:val="single" w:sz="4" w:space="0" w:color="auto"/>
              <w:bottom w:val="single" w:sz="4" w:space="0" w:color="auto"/>
              <w:right w:val="single" w:sz="4" w:space="0" w:color="auto"/>
            </w:tcBorders>
            <w:shd w:val="clear" w:color="000000" w:fill="FFFFFF"/>
            <w:vAlign w:val="center"/>
          </w:tcPr>
          <w:p w14:paraId="710F253B" w14:textId="77777777" w:rsidR="000C6E07" w:rsidRPr="000C6E07" w:rsidRDefault="000C6E07" w:rsidP="000C6E07">
            <w:pPr>
              <w:spacing w:after="0"/>
              <w:jc w:val="center"/>
              <w:rPr>
                <w:b/>
                <w:bCs/>
                <w:sz w:val="20"/>
                <w:szCs w:val="20"/>
                <w:lang w:val="ro-RO"/>
              </w:rPr>
            </w:pPr>
            <w:r w:rsidRPr="000C6E07">
              <w:rPr>
                <w:b/>
                <w:bCs/>
                <w:sz w:val="20"/>
                <w:szCs w:val="20"/>
                <w:lang w:val="ro-RO"/>
              </w:rPr>
              <w:t>69</w:t>
            </w:r>
          </w:p>
        </w:tc>
      </w:tr>
      <w:tr w:rsidR="000C6E07" w:rsidRPr="000C6E07" w14:paraId="514DF468"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BF1B2" w14:textId="77777777" w:rsidR="000C6E07" w:rsidRPr="000C6E07" w:rsidRDefault="000C6E07" w:rsidP="000C6E07">
            <w:pPr>
              <w:spacing w:after="0"/>
              <w:rPr>
                <w:sz w:val="20"/>
                <w:szCs w:val="20"/>
                <w:lang w:val="ro-RO"/>
              </w:rPr>
            </w:pPr>
            <w:r w:rsidRPr="000C6E07">
              <w:rPr>
                <w:sz w:val="20"/>
                <w:szCs w:val="20"/>
                <w:lang w:val="ro-RO"/>
              </w:rPr>
              <w:t>Utilizarea necorespunzătoare a cardurilor valorice</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4021F" w14:textId="77777777" w:rsidR="000C6E07" w:rsidRPr="000C6E07" w:rsidRDefault="000C6E07" w:rsidP="000C6E07">
            <w:pPr>
              <w:spacing w:after="0"/>
              <w:jc w:val="center"/>
              <w:rPr>
                <w:sz w:val="20"/>
                <w:szCs w:val="20"/>
                <w:lang w:val="ro-RO"/>
              </w:rPr>
            </w:pPr>
            <w:r w:rsidRPr="000C6E07">
              <w:rPr>
                <w:sz w:val="20"/>
                <w:szCs w:val="20"/>
                <w:lang w:val="ro-RO"/>
              </w:rPr>
              <w:t>7</w:t>
            </w:r>
          </w:p>
        </w:tc>
        <w:tc>
          <w:tcPr>
            <w:tcW w:w="222" w:type="dxa"/>
            <w:tcBorders>
              <w:left w:val="single" w:sz="4" w:space="0" w:color="auto"/>
            </w:tcBorders>
          </w:tcPr>
          <w:p w14:paraId="0F022B8B" w14:textId="77777777" w:rsidR="000C6E07" w:rsidRPr="000C6E07" w:rsidRDefault="000C6E07" w:rsidP="000C6E07">
            <w:pPr>
              <w:spacing w:after="0"/>
              <w:jc w:val="center"/>
              <w:rPr>
                <w:color w:val="000000"/>
                <w:sz w:val="20"/>
                <w:szCs w:val="20"/>
                <w:lang w:val="ro-RO"/>
              </w:rPr>
            </w:pPr>
          </w:p>
        </w:tc>
        <w:tc>
          <w:tcPr>
            <w:tcW w:w="3524" w:type="dxa"/>
            <w:tcBorders>
              <w:top w:val="single" w:sz="4" w:space="0" w:color="auto"/>
            </w:tcBorders>
            <w:shd w:val="clear" w:color="000000" w:fill="FFFFFF"/>
          </w:tcPr>
          <w:p w14:paraId="614D2386" w14:textId="77777777" w:rsidR="000C6E07" w:rsidRPr="000C6E07" w:rsidRDefault="000C6E07" w:rsidP="000C6E07">
            <w:pPr>
              <w:spacing w:after="0"/>
              <w:jc w:val="center"/>
              <w:rPr>
                <w:color w:val="000000"/>
                <w:sz w:val="20"/>
                <w:szCs w:val="20"/>
                <w:lang w:val="ro-RO"/>
              </w:rPr>
            </w:pPr>
          </w:p>
        </w:tc>
        <w:tc>
          <w:tcPr>
            <w:tcW w:w="1179" w:type="dxa"/>
            <w:tcBorders>
              <w:top w:val="single" w:sz="4" w:space="0" w:color="auto"/>
            </w:tcBorders>
            <w:shd w:val="clear" w:color="000000" w:fill="FFFFFF"/>
          </w:tcPr>
          <w:p w14:paraId="6758B613" w14:textId="77777777" w:rsidR="000C6E07" w:rsidRPr="000C6E07" w:rsidRDefault="000C6E07" w:rsidP="000C6E07">
            <w:pPr>
              <w:spacing w:after="0"/>
              <w:jc w:val="center"/>
              <w:rPr>
                <w:color w:val="000000"/>
                <w:sz w:val="20"/>
                <w:szCs w:val="20"/>
                <w:lang w:val="ro-RO"/>
              </w:rPr>
            </w:pPr>
          </w:p>
        </w:tc>
      </w:tr>
      <w:tr w:rsidR="000C6E07" w:rsidRPr="000C6E07" w14:paraId="0B521453"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A61D23" w14:textId="77777777" w:rsidR="000C6E07" w:rsidRPr="000C6E07" w:rsidRDefault="000C6E07" w:rsidP="000C6E07">
            <w:pPr>
              <w:spacing w:after="0"/>
              <w:rPr>
                <w:sz w:val="20"/>
                <w:szCs w:val="20"/>
                <w:lang w:val="ro-RO"/>
              </w:rPr>
            </w:pPr>
            <w:r w:rsidRPr="000C6E07">
              <w:rPr>
                <w:sz w:val="20"/>
                <w:szCs w:val="20"/>
                <w:lang w:val="ro-RO"/>
              </w:rPr>
              <w:t>Alte încălcări</w:t>
            </w:r>
          </w:p>
        </w:tc>
        <w:tc>
          <w:tcPr>
            <w:tcW w:w="1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B89C03" w14:textId="77777777" w:rsidR="000C6E07" w:rsidRPr="000C6E07" w:rsidRDefault="000C6E07" w:rsidP="000C6E07">
            <w:pPr>
              <w:spacing w:after="0"/>
              <w:jc w:val="center"/>
              <w:rPr>
                <w:sz w:val="20"/>
                <w:szCs w:val="20"/>
                <w:lang w:val="ro-RO"/>
              </w:rPr>
            </w:pPr>
            <w:r w:rsidRPr="000C6E07">
              <w:rPr>
                <w:sz w:val="20"/>
                <w:szCs w:val="20"/>
                <w:lang w:val="ro-RO"/>
              </w:rPr>
              <w:t>64</w:t>
            </w:r>
          </w:p>
        </w:tc>
        <w:tc>
          <w:tcPr>
            <w:tcW w:w="222" w:type="dxa"/>
            <w:tcBorders>
              <w:left w:val="single" w:sz="4" w:space="0" w:color="auto"/>
            </w:tcBorders>
          </w:tcPr>
          <w:p w14:paraId="4E45DFD4" w14:textId="77777777" w:rsidR="000C6E07" w:rsidRPr="000C6E07" w:rsidRDefault="000C6E07" w:rsidP="000C6E07">
            <w:pPr>
              <w:spacing w:after="0"/>
              <w:jc w:val="center"/>
              <w:rPr>
                <w:color w:val="000000"/>
                <w:sz w:val="20"/>
                <w:szCs w:val="20"/>
                <w:lang w:val="ro-RO"/>
              </w:rPr>
            </w:pPr>
          </w:p>
        </w:tc>
        <w:tc>
          <w:tcPr>
            <w:tcW w:w="3524" w:type="dxa"/>
            <w:shd w:val="clear" w:color="000000" w:fill="FFFFFF"/>
          </w:tcPr>
          <w:p w14:paraId="69A89F74" w14:textId="77777777" w:rsidR="000C6E07" w:rsidRPr="000C6E07" w:rsidRDefault="000C6E07" w:rsidP="000C6E07">
            <w:pPr>
              <w:spacing w:after="0"/>
              <w:jc w:val="center"/>
              <w:rPr>
                <w:color w:val="000000"/>
                <w:sz w:val="20"/>
                <w:szCs w:val="20"/>
                <w:lang w:val="ro-RO"/>
              </w:rPr>
            </w:pPr>
          </w:p>
        </w:tc>
        <w:tc>
          <w:tcPr>
            <w:tcW w:w="1179" w:type="dxa"/>
            <w:shd w:val="clear" w:color="000000" w:fill="FFFFFF"/>
          </w:tcPr>
          <w:p w14:paraId="04FA245F" w14:textId="77777777" w:rsidR="000C6E07" w:rsidRPr="000C6E07" w:rsidRDefault="000C6E07" w:rsidP="000C6E07">
            <w:pPr>
              <w:spacing w:after="0"/>
              <w:jc w:val="center"/>
              <w:rPr>
                <w:color w:val="000000"/>
                <w:sz w:val="20"/>
                <w:szCs w:val="20"/>
                <w:lang w:val="ro-RO"/>
              </w:rPr>
            </w:pPr>
          </w:p>
        </w:tc>
      </w:tr>
      <w:tr w:rsidR="000C6E07" w:rsidRPr="000C6E07" w14:paraId="682F9D9F" w14:textId="77777777" w:rsidTr="000C6E07">
        <w:trPr>
          <w:trHeight w:val="260"/>
          <w:jc w:val="center"/>
        </w:trPr>
        <w:tc>
          <w:tcPr>
            <w:tcW w:w="36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E27663" w14:textId="77777777" w:rsidR="000C6E07" w:rsidRPr="000C6E07" w:rsidRDefault="000C6E07" w:rsidP="000C6E07">
            <w:pPr>
              <w:spacing w:after="0"/>
              <w:rPr>
                <w:b/>
                <w:bCs/>
                <w:sz w:val="20"/>
                <w:szCs w:val="20"/>
                <w:lang w:val="ro-RO"/>
              </w:rPr>
            </w:pPr>
            <w:r w:rsidRPr="000C6E07">
              <w:rPr>
                <w:b/>
                <w:bCs/>
                <w:sz w:val="20"/>
                <w:szCs w:val="20"/>
                <w:lang w:val="ro-RO"/>
              </w:rPr>
              <w:t>Total</w:t>
            </w:r>
          </w:p>
        </w:tc>
        <w:tc>
          <w:tcPr>
            <w:tcW w:w="10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4A3B0" w14:textId="77777777" w:rsidR="000C6E07" w:rsidRPr="000C6E07" w:rsidRDefault="000C6E07" w:rsidP="000C6E07">
            <w:pPr>
              <w:spacing w:after="0"/>
              <w:jc w:val="center"/>
              <w:rPr>
                <w:b/>
                <w:bCs/>
                <w:sz w:val="20"/>
                <w:szCs w:val="20"/>
                <w:lang w:val="ro-RO"/>
              </w:rPr>
            </w:pPr>
            <w:r w:rsidRPr="000C6E07">
              <w:rPr>
                <w:b/>
                <w:bCs/>
                <w:sz w:val="20"/>
                <w:szCs w:val="20"/>
                <w:lang w:val="ro-RO"/>
              </w:rPr>
              <w:t>178</w:t>
            </w:r>
          </w:p>
        </w:tc>
        <w:tc>
          <w:tcPr>
            <w:tcW w:w="222" w:type="dxa"/>
            <w:tcBorders>
              <w:left w:val="single" w:sz="4" w:space="0" w:color="auto"/>
            </w:tcBorders>
          </w:tcPr>
          <w:p w14:paraId="166843BF" w14:textId="77777777" w:rsidR="000C6E07" w:rsidRPr="000C6E07" w:rsidRDefault="000C6E07" w:rsidP="000C6E07">
            <w:pPr>
              <w:spacing w:after="0"/>
              <w:jc w:val="center"/>
              <w:rPr>
                <w:b/>
                <w:bCs/>
                <w:color w:val="000000"/>
                <w:sz w:val="20"/>
                <w:szCs w:val="20"/>
                <w:lang w:val="ro-RO"/>
              </w:rPr>
            </w:pPr>
          </w:p>
        </w:tc>
        <w:tc>
          <w:tcPr>
            <w:tcW w:w="3524" w:type="dxa"/>
            <w:shd w:val="clear" w:color="000000" w:fill="FFFFFF"/>
          </w:tcPr>
          <w:p w14:paraId="38FBC1B1" w14:textId="77777777" w:rsidR="000C6E07" w:rsidRPr="000C6E07" w:rsidRDefault="000C6E07" w:rsidP="000C6E07">
            <w:pPr>
              <w:spacing w:after="0"/>
              <w:jc w:val="center"/>
              <w:rPr>
                <w:b/>
                <w:bCs/>
                <w:color w:val="000000"/>
                <w:sz w:val="20"/>
                <w:szCs w:val="20"/>
                <w:lang w:val="ro-RO"/>
              </w:rPr>
            </w:pPr>
          </w:p>
        </w:tc>
        <w:tc>
          <w:tcPr>
            <w:tcW w:w="1179" w:type="dxa"/>
            <w:shd w:val="clear" w:color="000000" w:fill="FFFFFF"/>
          </w:tcPr>
          <w:p w14:paraId="2D426BD5" w14:textId="77777777" w:rsidR="000C6E07" w:rsidRPr="000C6E07" w:rsidRDefault="000C6E07" w:rsidP="000C6E07">
            <w:pPr>
              <w:spacing w:after="0"/>
              <w:jc w:val="center"/>
              <w:rPr>
                <w:b/>
                <w:bCs/>
                <w:color w:val="000000"/>
                <w:sz w:val="20"/>
                <w:szCs w:val="20"/>
                <w:lang w:val="ro-RO"/>
              </w:rPr>
            </w:pPr>
          </w:p>
        </w:tc>
      </w:tr>
    </w:tbl>
    <w:p w14:paraId="05BED566" w14:textId="77777777" w:rsidR="000C6E07" w:rsidRPr="000C6E07" w:rsidRDefault="000C6E07" w:rsidP="000C6E07">
      <w:pPr>
        <w:pStyle w:val="Default"/>
        <w:spacing w:after="120"/>
        <w:ind w:firstLine="539"/>
        <w:jc w:val="center"/>
        <w:rPr>
          <w:i/>
          <w:lang w:eastAsia="ro-RO"/>
        </w:rPr>
      </w:pPr>
      <w:r w:rsidRPr="000C6E07">
        <w:rPr>
          <w:b/>
        </w:rPr>
        <w:t>Sursa:</w:t>
      </w:r>
      <w:r w:rsidRPr="000C6E07">
        <w:rPr>
          <w:i/>
        </w:rPr>
        <w:t xml:space="preserve"> Inspectoratul General al Poliției, Inspectoratul general de Carabinieri</w:t>
      </w:r>
    </w:p>
    <w:p w14:paraId="71CFB608" w14:textId="77777777" w:rsidR="003679EA" w:rsidRPr="003679EA" w:rsidRDefault="000C6E07" w:rsidP="003679EA">
      <w:pPr>
        <w:spacing w:before="120" w:after="0"/>
        <w:ind w:firstLine="539"/>
        <w:jc w:val="both"/>
        <w:rPr>
          <w:sz w:val="24"/>
          <w:szCs w:val="24"/>
          <w:lang w:val="ro-RO"/>
        </w:rPr>
      </w:pPr>
      <w:r w:rsidRPr="003679EA">
        <w:rPr>
          <w:b/>
          <w:sz w:val="24"/>
          <w:szCs w:val="24"/>
          <w:lang w:val="ro-RO" w:eastAsia="ro-RO"/>
        </w:rPr>
        <w:lastRenderedPageBreak/>
        <w:t>O preocupare majoră o reprezintă încălcarea drepturilor și libertăților fundamentale ale omului de către angajații MAI</w:t>
      </w:r>
      <w:r w:rsidRPr="003679EA">
        <w:rPr>
          <w:sz w:val="24"/>
          <w:szCs w:val="24"/>
          <w:lang w:val="ro-RO" w:eastAsia="ro-RO"/>
        </w:rPr>
        <w:t>.</w:t>
      </w:r>
      <w:r w:rsidRPr="003679EA">
        <w:rPr>
          <w:color w:val="0070C0"/>
          <w:sz w:val="24"/>
          <w:szCs w:val="24"/>
          <w:lang w:val="ro-RO" w:eastAsia="ro-RO"/>
        </w:rPr>
        <w:t xml:space="preserve"> </w:t>
      </w:r>
      <w:r w:rsidRPr="003679EA">
        <w:rPr>
          <w:sz w:val="24"/>
          <w:szCs w:val="24"/>
          <w:lang w:val="ro-RO"/>
        </w:rPr>
        <w:t>Analiza comparativă a performanței statelor din regiunea OSCE în prevenirea și combaterea torturii confirmă că Republica Moldova se menține în top, cu un scor de 129,33 puncte în 2024, aproape identic cu cel din anul precedent (128,91). Stabilitatea acestui scor reflectă continuitatea eforturilor instituționale, dar lipsa unui progres semnificativ indică necesitatea intensificării acțiunilor, în special prin consolidarea mecanismului de investigare a plângerilor și alocarea unor resurse suplimentare.</w:t>
      </w:r>
      <w:r w:rsidRPr="003679EA">
        <w:rPr>
          <w:rStyle w:val="aff3"/>
          <w:sz w:val="24"/>
          <w:szCs w:val="24"/>
          <w:lang w:val="ro-RO"/>
        </w:rPr>
        <w:footnoteReference w:id="23"/>
      </w:r>
      <w:r w:rsidRPr="003679EA">
        <w:rPr>
          <w:sz w:val="24"/>
          <w:szCs w:val="24"/>
          <w:lang w:val="ro-RO"/>
        </w:rPr>
        <w:t xml:space="preserve"> Deși, indicatorii privind tortura nu se referă doar la sistemul afacerilor interne, sistemul se confruntă în continuare cu dificultăți în această privință.</w:t>
      </w:r>
    </w:p>
    <w:p w14:paraId="050D6E78" w14:textId="34386036" w:rsidR="000C6E07" w:rsidRPr="000C6E07" w:rsidRDefault="000C6E07" w:rsidP="005349DF">
      <w:pPr>
        <w:spacing w:before="120" w:after="0"/>
        <w:ind w:firstLine="539"/>
        <w:jc w:val="center"/>
        <w:rPr>
          <w:b/>
          <w:sz w:val="24"/>
          <w:szCs w:val="24"/>
          <w:lang w:val="ro-RO" w:eastAsia="ro-RO"/>
        </w:rPr>
      </w:pPr>
      <w:r w:rsidRPr="000C6E07">
        <w:rPr>
          <w:b/>
          <w:sz w:val="24"/>
          <w:szCs w:val="24"/>
          <w:lang w:val="ro-RO" w:eastAsia="ro-RO"/>
        </w:rPr>
        <w:t>Tabelul 6. Indice</w:t>
      </w:r>
      <w:r w:rsidRPr="000C6E07">
        <w:rPr>
          <w:b/>
          <w:sz w:val="24"/>
          <w:szCs w:val="24"/>
          <w:lang w:val="ro-RO" w:eastAsia="ro-RO"/>
        </w:rPr>
        <w:softHyphen/>
        <w:t>le Interdicției Torturii, ediția 2024</w:t>
      </w:r>
    </w:p>
    <w:tbl>
      <w:tblPr>
        <w:tblStyle w:val="aff0"/>
        <w:tblW w:w="9348" w:type="dxa"/>
        <w:jc w:val="center"/>
        <w:tblLook w:val="04A0" w:firstRow="1" w:lastRow="0" w:firstColumn="1" w:lastColumn="0" w:noHBand="0" w:noVBand="1"/>
      </w:tblPr>
      <w:tblGrid>
        <w:gridCol w:w="2337"/>
        <w:gridCol w:w="2337"/>
        <w:gridCol w:w="2337"/>
        <w:gridCol w:w="2337"/>
      </w:tblGrid>
      <w:tr w:rsidR="000C6E07" w:rsidRPr="000C6E07" w14:paraId="4E6BC687" w14:textId="77777777" w:rsidTr="000C6E07">
        <w:trPr>
          <w:jc w:val="center"/>
        </w:trPr>
        <w:tc>
          <w:tcPr>
            <w:tcW w:w="2337" w:type="dxa"/>
            <w:vAlign w:val="bottom"/>
          </w:tcPr>
          <w:p w14:paraId="6F539ED9" w14:textId="77777777" w:rsidR="000C6E07" w:rsidRPr="000C6E07" w:rsidRDefault="000C6E07" w:rsidP="000C6E07">
            <w:pPr>
              <w:jc w:val="both"/>
              <w:rPr>
                <w:b/>
                <w:sz w:val="24"/>
                <w:lang w:val="ro-RO"/>
              </w:rPr>
            </w:pPr>
            <w:r w:rsidRPr="000C6E07">
              <w:rPr>
                <w:b/>
                <w:color w:val="000000"/>
                <w:sz w:val="20"/>
                <w:szCs w:val="20"/>
                <w:lang w:val="ro-RO"/>
              </w:rPr>
              <w:t>Țara</w:t>
            </w:r>
          </w:p>
        </w:tc>
        <w:tc>
          <w:tcPr>
            <w:tcW w:w="2337" w:type="dxa"/>
            <w:vAlign w:val="bottom"/>
          </w:tcPr>
          <w:p w14:paraId="7601DFF1" w14:textId="77777777" w:rsidR="000C6E07" w:rsidRPr="000C6E07" w:rsidRDefault="000C6E07" w:rsidP="000C6E07">
            <w:pPr>
              <w:jc w:val="center"/>
              <w:rPr>
                <w:b/>
                <w:sz w:val="24"/>
                <w:lang w:val="ro-RO"/>
              </w:rPr>
            </w:pPr>
            <w:r w:rsidRPr="000C6E07">
              <w:rPr>
                <w:b/>
                <w:color w:val="000000"/>
                <w:sz w:val="20"/>
                <w:szCs w:val="20"/>
                <w:lang w:val="ro-RO"/>
              </w:rPr>
              <w:t>scor 2023</w:t>
            </w:r>
          </w:p>
        </w:tc>
        <w:tc>
          <w:tcPr>
            <w:tcW w:w="2337" w:type="dxa"/>
            <w:vAlign w:val="bottom"/>
          </w:tcPr>
          <w:p w14:paraId="40F91D28" w14:textId="77777777" w:rsidR="000C6E07" w:rsidRPr="000C6E07" w:rsidRDefault="000C6E07" w:rsidP="000C6E07">
            <w:pPr>
              <w:jc w:val="center"/>
              <w:rPr>
                <w:b/>
                <w:sz w:val="24"/>
                <w:lang w:val="ro-RO"/>
              </w:rPr>
            </w:pPr>
            <w:r w:rsidRPr="000C6E07">
              <w:rPr>
                <w:b/>
                <w:color w:val="000000"/>
                <w:sz w:val="20"/>
                <w:szCs w:val="20"/>
                <w:lang w:val="ro-RO"/>
              </w:rPr>
              <w:t>scor 2024</w:t>
            </w:r>
          </w:p>
        </w:tc>
        <w:tc>
          <w:tcPr>
            <w:tcW w:w="2337" w:type="dxa"/>
            <w:vAlign w:val="bottom"/>
          </w:tcPr>
          <w:p w14:paraId="2FE06412" w14:textId="77777777" w:rsidR="000C6E07" w:rsidRPr="000C6E07" w:rsidRDefault="000C6E07" w:rsidP="000C6E07">
            <w:pPr>
              <w:jc w:val="center"/>
              <w:rPr>
                <w:b/>
                <w:sz w:val="24"/>
                <w:lang w:val="ro-RO"/>
              </w:rPr>
            </w:pPr>
            <w:r w:rsidRPr="000C6E07">
              <w:rPr>
                <w:b/>
                <w:color w:val="000000"/>
                <w:sz w:val="20"/>
                <w:szCs w:val="20"/>
                <w:lang w:val="ro-RO"/>
              </w:rPr>
              <w:t>Tendință 2023</w:t>
            </w:r>
            <w:r w:rsidRPr="000C6E07">
              <w:rPr>
                <w:b/>
                <w:color w:val="000000"/>
                <w:sz w:val="20"/>
                <w:szCs w:val="20"/>
                <w:lang w:val="ro-RO"/>
              </w:rPr>
              <w:noBreakHyphen/>
              <w:t>2024</w:t>
            </w:r>
          </w:p>
        </w:tc>
      </w:tr>
      <w:tr w:rsidR="000C6E07" w:rsidRPr="000C6E07" w14:paraId="411FC015" w14:textId="77777777" w:rsidTr="000C6E07">
        <w:trPr>
          <w:jc w:val="center"/>
        </w:trPr>
        <w:tc>
          <w:tcPr>
            <w:tcW w:w="2337" w:type="dxa"/>
            <w:vAlign w:val="bottom"/>
          </w:tcPr>
          <w:p w14:paraId="17AC0788" w14:textId="77777777" w:rsidR="000C6E07" w:rsidRPr="000C6E07" w:rsidRDefault="000C6E07" w:rsidP="000C6E07">
            <w:pPr>
              <w:jc w:val="both"/>
              <w:rPr>
                <w:sz w:val="24"/>
                <w:lang w:val="ro-RO"/>
              </w:rPr>
            </w:pPr>
            <w:r w:rsidRPr="000C6E07">
              <w:rPr>
                <w:color w:val="000000"/>
                <w:sz w:val="20"/>
                <w:szCs w:val="20"/>
                <w:lang w:val="ro-RO"/>
              </w:rPr>
              <w:t>Armenia</w:t>
            </w:r>
          </w:p>
        </w:tc>
        <w:tc>
          <w:tcPr>
            <w:tcW w:w="2337" w:type="dxa"/>
            <w:vAlign w:val="bottom"/>
          </w:tcPr>
          <w:p w14:paraId="3DA9A1C1" w14:textId="77777777" w:rsidR="000C6E07" w:rsidRPr="000C6E07" w:rsidRDefault="000C6E07" w:rsidP="000C6E07">
            <w:pPr>
              <w:jc w:val="center"/>
              <w:rPr>
                <w:sz w:val="24"/>
                <w:lang w:val="ro-RO"/>
              </w:rPr>
            </w:pPr>
            <w:r w:rsidRPr="000C6E07">
              <w:rPr>
                <w:color w:val="000000"/>
                <w:sz w:val="20"/>
                <w:szCs w:val="20"/>
                <w:lang w:val="ro-RO"/>
              </w:rPr>
              <w:t>131,53</w:t>
            </w:r>
          </w:p>
        </w:tc>
        <w:tc>
          <w:tcPr>
            <w:tcW w:w="2337" w:type="dxa"/>
            <w:vAlign w:val="bottom"/>
          </w:tcPr>
          <w:p w14:paraId="2FAF4F8B" w14:textId="77777777" w:rsidR="000C6E07" w:rsidRPr="000C6E07" w:rsidRDefault="000C6E07" w:rsidP="000C6E07">
            <w:pPr>
              <w:jc w:val="center"/>
              <w:rPr>
                <w:sz w:val="24"/>
                <w:lang w:val="ro-RO"/>
              </w:rPr>
            </w:pPr>
            <w:r w:rsidRPr="000C6E07">
              <w:rPr>
                <w:color w:val="000000"/>
                <w:sz w:val="20"/>
                <w:szCs w:val="20"/>
                <w:lang w:val="ro-RO"/>
              </w:rPr>
              <w:t>137,46</w:t>
            </w:r>
          </w:p>
        </w:tc>
        <w:tc>
          <w:tcPr>
            <w:tcW w:w="2337" w:type="dxa"/>
            <w:vAlign w:val="bottom"/>
          </w:tcPr>
          <w:p w14:paraId="738B4695" w14:textId="77777777" w:rsidR="000C6E07" w:rsidRPr="000C6E07" w:rsidRDefault="000C6E07" w:rsidP="000C6E07">
            <w:pPr>
              <w:jc w:val="center"/>
              <w:rPr>
                <w:sz w:val="24"/>
                <w:lang w:val="ro-RO"/>
              </w:rPr>
            </w:pPr>
            <w:r w:rsidRPr="000C6E07">
              <w:rPr>
                <w:color w:val="000000"/>
                <w:sz w:val="20"/>
                <w:szCs w:val="20"/>
                <w:lang w:val="ro-RO"/>
              </w:rPr>
              <w:t>+5,93</w:t>
            </w:r>
          </w:p>
        </w:tc>
      </w:tr>
      <w:tr w:rsidR="000C6E07" w:rsidRPr="000C6E07" w14:paraId="2FE449E0" w14:textId="77777777" w:rsidTr="000C6E07">
        <w:trPr>
          <w:jc w:val="center"/>
        </w:trPr>
        <w:tc>
          <w:tcPr>
            <w:tcW w:w="2337" w:type="dxa"/>
            <w:vAlign w:val="bottom"/>
          </w:tcPr>
          <w:p w14:paraId="7A18CC81" w14:textId="77777777" w:rsidR="000C6E07" w:rsidRPr="000C6E07" w:rsidRDefault="000C6E07" w:rsidP="000C6E07">
            <w:pPr>
              <w:jc w:val="both"/>
              <w:rPr>
                <w:sz w:val="24"/>
                <w:lang w:val="ro-RO"/>
              </w:rPr>
            </w:pPr>
            <w:r w:rsidRPr="000C6E07">
              <w:rPr>
                <w:color w:val="000000"/>
                <w:sz w:val="20"/>
                <w:szCs w:val="20"/>
                <w:lang w:val="ro-RO"/>
              </w:rPr>
              <w:t>Kazahstan</w:t>
            </w:r>
          </w:p>
        </w:tc>
        <w:tc>
          <w:tcPr>
            <w:tcW w:w="2337" w:type="dxa"/>
            <w:vAlign w:val="bottom"/>
          </w:tcPr>
          <w:p w14:paraId="246A59C4" w14:textId="77777777" w:rsidR="000C6E07" w:rsidRPr="000C6E07" w:rsidRDefault="000C6E07" w:rsidP="000C6E07">
            <w:pPr>
              <w:jc w:val="center"/>
              <w:rPr>
                <w:sz w:val="24"/>
                <w:lang w:val="ro-RO"/>
              </w:rPr>
            </w:pPr>
            <w:r w:rsidRPr="000C6E07">
              <w:rPr>
                <w:color w:val="000000"/>
                <w:sz w:val="20"/>
                <w:szCs w:val="20"/>
                <w:lang w:val="ro-RO"/>
              </w:rPr>
              <w:t>122,51</w:t>
            </w:r>
          </w:p>
        </w:tc>
        <w:tc>
          <w:tcPr>
            <w:tcW w:w="2337" w:type="dxa"/>
            <w:vAlign w:val="bottom"/>
          </w:tcPr>
          <w:p w14:paraId="1F027312" w14:textId="77777777" w:rsidR="000C6E07" w:rsidRPr="000C6E07" w:rsidRDefault="000C6E07" w:rsidP="000C6E07">
            <w:pPr>
              <w:jc w:val="center"/>
              <w:rPr>
                <w:sz w:val="24"/>
                <w:lang w:val="ro-RO"/>
              </w:rPr>
            </w:pPr>
            <w:r w:rsidRPr="000C6E07">
              <w:rPr>
                <w:color w:val="000000"/>
                <w:sz w:val="20"/>
                <w:szCs w:val="20"/>
                <w:lang w:val="ro-RO"/>
              </w:rPr>
              <w:t>135,36</w:t>
            </w:r>
          </w:p>
        </w:tc>
        <w:tc>
          <w:tcPr>
            <w:tcW w:w="2337" w:type="dxa"/>
            <w:vAlign w:val="bottom"/>
          </w:tcPr>
          <w:p w14:paraId="3C053C3A" w14:textId="77777777" w:rsidR="000C6E07" w:rsidRPr="000C6E07" w:rsidRDefault="000C6E07" w:rsidP="000C6E07">
            <w:pPr>
              <w:jc w:val="center"/>
              <w:rPr>
                <w:sz w:val="24"/>
                <w:lang w:val="ro-RO"/>
              </w:rPr>
            </w:pPr>
            <w:r w:rsidRPr="000C6E07">
              <w:rPr>
                <w:color w:val="000000"/>
                <w:sz w:val="20"/>
                <w:szCs w:val="20"/>
                <w:lang w:val="ro-RO"/>
              </w:rPr>
              <w:t>+12,85</w:t>
            </w:r>
          </w:p>
        </w:tc>
      </w:tr>
      <w:tr w:rsidR="000C6E07" w:rsidRPr="000C6E07" w14:paraId="6975CCCE" w14:textId="77777777" w:rsidTr="000C6E07">
        <w:trPr>
          <w:jc w:val="center"/>
        </w:trPr>
        <w:tc>
          <w:tcPr>
            <w:tcW w:w="2337" w:type="dxa"/>
            <w:vAlign w:val="bottom"/>
          </w:tcPr>
          <w:p w14:paraId="63F2D0D1" w14:textId="77777777" w:rsidR="000C6E07" w:rsidRPr="000C6E07" w:rsidRDefault="000C6E07" w:rsidP="000C6E07">
            <w:pPr>
              <w:jc w:val="both"/>
              <w:rPr>
                <w:b/>
                <w:i/>
                <w:sz w:val="24"/>
                <w:lang w:val="ro-RO"/>
              </w:rPr>
            </w:pPr>
            <w:r w:rsidRPr="000C6E07">
              <w:rPr>
                <w:b/>
                <w:i/>
                <w:color w:val="000000"/>
                <w:sz w:val="20"/>
                <w:szCs w:val="20"/>
                <w:lang w:val="ro-RO"/>
              </w:rPr>
              <w:t>Moldova</w:t>
            </w:r>
          </w:p>
        </w:tc>
        <w:tc>
          <w:tcPr>
            <w:tcW w:w="2337" w:type="dxa"/>
            <w:vAlign w:val="bottom"/>
          </w:tcPr>
          <w:p w14:paraId="7541D5D6" w14:textId="77777777" w:rsidR="000C6E07" w:rsidRPr="000C6E07" w:rsidRDefault="000C6E07" w:rsidP="000C6E07">
            <w:pPr>
              <w:jc w:val="center"/>
              <w:rPr>
                <w:b/>
                <w:i/>
                <w:sz w:val="24"/>
                <w:lang w:val="ro-RO"/>
              </w:rPr>
            </w:pPr>
            <w:r w:rsidRPr="000C6E07">
              <w:rPr>
                <w:b/>
                <w:i/>
                <w:color w:val="000000"/>
                <w:sz w:val="20"/>
                <w:szCs w:val="20"/>
                <w:lang w:val="ro-RO"/>
              </w:rPr>
              <w:t>128,91</w:t>
            </w:r>
          </w:p>
        </w:tc>
        <w:tc>
          <w:tcPr>
            <w:tcW w:w="2337" w:type="dxa"/>
            <w:vAlign w:val="bottom"/>
          </w:tcPr>
          <w:p w14:paraId="79B572DE" w14:textId="77777777" w:rsidR="000C6E07" w:rsidRPr="000C6E07" w:rsidRDefault="000C6E07" w:rsidP="000C6E07">
            <w:pPr>
              <w:jc w:val="center"/>
              <w:rPr>
                <w:b/>
                <w:i/>
                <w:sz w:val="24"/>
                <w:lang w:val="ro-RO"/>
              </w:rPr>
            </w:pPr>
            <w:r w:rsidRPr="000C6E07">
              <w:rPr>
                <w:b/>
                <w:i/>
                <w:color w:val="000000"/>
                <w:sz w:val="20"/>
                <w:szCs w:val="20"/>
                <w:lang w:val="ro-RO"/>
              </w:rPr>
              <w:t>129,33</w:t>
            </w:r>
          </w:p>
        </w:tc>
        <w:tc>
          <w:tcPr>
            <w:tcW w:w="2337" w:type="dxa"/>
            <w:vAlign w:val="bottom"/>
          </w:tcPr>
          <w:p w14:paraId="41049FDE" w14:textId="77777777" w:rsidR="000C6E07" w:rsidRPr="000C6E07" w:rsidRDefault="000C6E07" w:rsidP="000C6E07">
            <w:pPr>
              <w:jc w:val="center"/>
              <w:rPr>
                <w:b/>
                <w:i/>
                <w:sz w:val="24"/>
                <w:lang w:val="ro-RO"/>
              </w:rPr>
            </w:pPr>
            <w:r w:rsidRPr="000C6E07">
              <w:rPr>
                <w:b/>
                <w:i/>
                <w:color w:val="000000"/>
                <w:sz w:val="20"/>
                <w:szCs w:val="20"/>
                <w:lang w:val="ro-RO"/>
              </w:rPr>
              <w:t>+0,42</w:t>
            </w:r>
          </w:p>
        </w:tc>
      </w:tr>
      <w:tr w:rsidR="000C6E07" w:rsidRPr="000C6E07" w14:paraId="02CB5F8E" w14:textId="77777777" w:rsidTr="000C6E07">
        <w:trPr>
          <w:jc w:val="center"/>
        </w:trPr>
        <w:tc>
          <w:tcPr>
            <w:tcW w:w="2337" w:type="dxa"/>
            <w:vAlign w:val="bottom"/>
          </w:tcPr>
          <w:p w14:paraId="673EEDC6" w14:textId="77777777" w:rsidR="000C6E07" w:rsidRPr="000C6E07" w:rsidRDefault="000C6E07" w:rsidP="000C6E07">
            <w:pPr>
              <w:jc w:val="both"/>
              <w:rPr>
                <w:sz w:val="24"/>
                <w:lang w:val="ro-RO"/>
              </w:rPr>
            </w:pPr>
            <w:r w:rsidRPr="000C6E07">
              <w:rPr>
                <w:color w:val="000000"/>
                <w:sz w:val="20"/>
                <w:szCs w:val="20"/>
                <w:lang w:val="ro-RO"/>
              </w:rPr>
              <w:t>Ucraina</w:t>
            </w:r>
          </w:p>
        </w:tc>
        <w:tc>
          <w:tcPr>
            <w:tcW w:w="2337" w:type="dxa"/>
            <w:vAlign w:val="bottom"/>
          </w:tcPr>
          <w:p w14:paraId="7434B731" w14:textId="77777777" w:rsidR="000C6E07" w:rsidRPr="000C6E07" w:rsidRDefault="000C6E07" w:rsidP="000C6E07">
            <w:pPr>
              <w:jc w:val="center"/>
              <w:rPr>
                <w:sz w:val="24"/>
                <w:lang w:val="ro-RO"/>
              </w:rPr>
            </w:pPr>
            <w:r w:rsidRPr="000C6E07">
              <w:rPr>
                <w:color w:val="000000"/>
                <w:sz w:val="20"/>
                <w:szCs w:val="20"/>
                <w:lang w:val="ro-RO"/>
              </w:rPr>
              <w:t>92,02</w:t>
            </w:r>
          </w:p>
        </w:tc>
        <w:tc>
          <w:tcPr>
            <w:tcW w:w="2337" w:type="dxa"/>
            <w:vAlign w:val="bottom"/>
          </w:tcPr>
          <w:p w14:paraId="2564D314" w14:textId="77777777" w:rsidR="000C6E07" w:rsidRPr="000C6E07" w:rsidRDefault="000C6E07" w:rsidP="000C6E07">
            <w:pPr>
              <w:jc w:val="center"/>
              <w:rPr>
                <w:sz w:val="24"/>
                <w:lang w:val="ro-RO"/>
              </w:rPr>
            </w:pPr>
            <w:r w:rsidRPr="000C6E07">
              <w:rPr>
                <w:color w:val="000000"/>
                <w:sz w:val="20"/>
                <w:szCs w:val="20"/>
                <w:lang w:val="ro-RO"/>
              </w:rPr>
              <w:t>80,77</w:t>
            </w:r>
          </w:p>
        </w:tc>
        <w:tc>
          <w:tcPr>
            <w:tcW w:w="2337" w:type="dxa"/>
            <w:vAlign w:val="bottom"/>
          </w:tcPr>
          <w:p w14:paraId="28027EE8" w14:textId="77777777" w:rsidR="000C6E07" w:rsidRPr="000C6E07" w:rsidRDefault="000C6E07" w:rsidP="000C6E07">
            <w:pPr>
              <w:jc w:val="center"/>
              <w:rPr>
                <w:sz w:val="24"/>
                <w:lang w:val="ro-RO"/>
              </w:rPr>
            </w:pPr>
            <w:r w:rsidRPr="000C6E07">
              <w:rPr>
                <w:color w:val="000000"/>
                <w:sz w:val="20"/>
                <w:szCs w:val="20"/>
                <w:lang w:val="ro-RO"/>
              </w:rPr>
              <w:t>–11,25</w:t>
            </w:r>
          </w:p>
        </w:tc>
      </w:tr>
      <w:tr w:rsidR="000C6E07" w:rsidRPr="000C6E07" w14:paraId="3B5374EC" w14:textId="77777777" w:rsidTr="000C6E07">
        <w:trPr>
          <w:jc w:val="center"/>
        </w:trPr>
        <w:tc>
          <w:tcPr>
            <w:tcW w:w="2337" w:type="dxa"/>
            <w:vAlign w:val="bottom"/>
          </w:tcPr>
          <w:p w14:paraId="4F1D72D2" w14:textId="77777777" w:rsidR="000C6E07" w:rsidRPr="000C6E07" w:rsidRDefault="000C6E07" w:rsidP="000C6E07">
            <w:pPr>
              <w:jc w:val="both"/>
              <w:rPr>
                <w:sz w:val="24"/>
                <w:lang w:val="ro-RO"/>
              </w:rPr>
            </w:pPr>
            <w:r w:rsidRPr="000C6E07">
              <w:rPr>
                <w:color w:val="000000"/>
                <w:sz w:val="20"/>
                <w:szCs w:val="20"/>
                <w:lang w:val="ro-RO"/>
              </w:rPr>
              <w:t>Rusia</w:t>
            </w:r>
          </w:p>
        </w:tc>
        <w:tc>
          <w:tcPr>
            <w:tcW w:w="2337" w:type="dxa"/>
            <w:vAlign w:val="bottom"/>
          </w:tcPr>
          <w:p w14:paraId="37CAD0E3" w14:textId="77777777" w:rsidR="000C6E07" w:rsidRPr="000C6E07" w:rsidRDefault="000C6E07" w:rsidP="000C6E07">
            <w:pPr>
              <w:jc w:val="center"/>
              <w:rPr>
                <w:sz w:val="24"/>
                <w:lang w:val="ro-RO"/>
              </w:rPr>
            </w:pPr>
            <w:r w:rsidRPr="000C6E07">
              <w:rPr>
                <w:color w:val="000000"/>
                <w:sz w:val="20"/>
                <w:szCs w:val="20"/>
                <w:lang w:val="ro-RO"/>
              </w:rPr>
              <w:t>21,61</w:t>
            </w:r>
          </w:p>
        </w:tc>
        <w:tc>
          <w:tcPr>
            <w:tcW w:w="2337" w:type="dxa"/>
            <w:vAlign w:val="bottom"/>
          </w:tcPr>
          <w:p w14:paraId="7ABC62D6" w14:textId="77777777" w:rsidR="000C6E07" w:rsidRPr="000C6E07" w:rsidRDefault="000C6E07" w:rsidP="000C6E07">
            <w:pPr>
              <w:jc w:val="center"/>
              <w:rPr>
                <w:sz w:val="24"/>
                <w:lang w:val="ro-RO"/>
              </w:rPr>
            </w:pPr>
            <w:r w:rsidRPr="000C6E07">
              <w:rPr>
                <w:color w:val="000000"/>
                <w:sz w:val="20"/>
                <w:szCs w:val="20"/>
                <w:lang w:val="ro-RO"/>
              </w:rPr>
              <w:t>19,89</w:t>
            </w:r>
          </w:p>
        </w:tc>
        <w:tc>
          <w:tcPr>
            <w:tcW w:w="2337" w:type="dxa"/>
            <w:vAlign w:val="bottom"/>
          </w:tcPr>
          <w:p w14:paraId="2828ABCC" w14:textId="77777777" w:rsidR="000C6E07" w:rsidRPr="000C6E07" w:rsidRDefault="000C6E07" w:rsidP="000C6E07">
            <w:pPr>
              <w:jc w:val="center"/>
              <w:rPr>
                <w:sz w:val="24"/>
                <w:lang w:val="ro-RO"/>
              </w:rPr>
            </w:pPr>
            <w:r w:rsidRPr="000C6E07">
              <w:rPr>
                <w:color w:val="000000"/>
                <w:sz w:val="20"/>
                <w:szCs w:val="20"/>
                <w:lang w:val="ro-RO"/>
              </w:rPr>
              <w:t>–1,72</w:t>
            </w:r>
          </w:p>
        </w:tc>
      </w:tr>
      <w:tr w:rsidR="000C6E07" w:rsidRPr="000C6E07" w14:paraId="2277357A" w14:textId="77777777" w:rsidTr="000C6E07">
        <w:trPr>
          <w:jc w:val="center"/>
        </w:trPr>
        <w:tc>
          <w:tcPr>
            <w:tcW w:w="2337" w:type="dxa"/>
            <w:vAlign w:val="bottom"/>
          </w:tcPr>
          <w:p w14:paraId="0BB943F9" w14:textId="77777777" w:rsidR="000C6E07" w:rsidRPr="000C6E07" w:rsidRDefault="000C6E07" w:rsidP="000C6E07">
            <w:pPr>
              <w:jc w:val="both"/>
              <w:rPr>
                <w:sz w:val="24"/>
                <w:lang w:val="ro-RO"/>
              </w:rPr>
            </w:pPr>
            <w:r w:rsidRPr="000C6E07">
              <w:rPr>
                <w:color w:val="000000"/>
                <w:sz w:val="20"/>
                <w:szCs w:val="20"/>
                <w:lang w:val="ro-RO"/>
              </w:rPr>
              <w:t>Belarus</w:t>
            </w:r>
          </w:p>
        </w:tc>
        <w:tc>
          <w:tcPr>
            <w:tcW w:w="2337" w:type="dxa"/>
            <w:vAlign w:val="bottom"/>
          </w:tcPr>
          <w:p w14:paraId="5D7170CF" w14:textId="77777777" w:rsidR="000C6E07" w:rsidRPr="000C6E07" w:rsidRDefault="000C6E07" w:rsidP="000C6E07">
            <w:pPr>
              <w:jc w:val="center"/>
              <w:rPr>
                <w:sz w:val="24"/>
                <w:lang w:val="ro-RO"/>
              </w:rPr>
            </w:pPr>
            <w:r w:rsidRPr="000C6E07">
              <w:rPr>
                <w:color w:val="000000"/>
                <w:sz w:val="20"/>
                <w:szCs w:val="20"/>
                <w:lang w:val="ro-RO"/>
              </w:rPr>
              <w:t>–93,83</w:t>
            </w:r>
          </w:p>
        </w:tc>
        <w:tc>
          <w:tcPr>
            <w:tcW w:w="2337" w:type="dxa"/>
            <w:vAlign w:val="bottom"/>
          </w:tcPr>
          <w:p w14:paraId="6401AEBB" w14:textId="77777777" w:rsidR="000C6E07" w:rsidRPr="000C6E07" w:rsidRDefault="000C6E07" w:rsidP="000C6E07">
            <w:pPr>
              <w:jc w:val="center"/>
              <w:rPr>
                <w:sz w:val="24"/>
                <w:lang w:val="ro-RO"/>
              </w:rPr>
            </w:pPr>
            <w:r w:rsidRPr="000C6E07">
              <w:rPr>
                <w:color w:val="000000"/>
                <w:sz w:val="20"/>
                <w:szCs w:val="20"/>
                <w:lang w:val="ro-RO"/>
              </w:rPr>
              <w:t>–95,02</w:t>
            </w:r>
          </w:p>
        </w:tc>
        <w:tc>
          <w:tcPr>
            <w:tcW w:w="2337" w:type="dxa"/>
            <w:vAlign w:val="bottom"/>
          </w:tcPr>
          <w:p w14:paraId="2F992D9A" w14:textId="77777777" w:rsidR="000C6E07" w:rsidRPr="000C6E07" w:rsidRDefault="000C6E07" w:rsidP="000C6E07">
            <w:pPr>
              <w:jc w:val="center"/>
              <w:rPr>
                <w:sz w:val="24"/>
                <w:lang w:val="ro-RO"/>
              </w:rPr>
            </w:pPr>
            <w:r w:rsidRPr="000C6E07">
              <w:rPr>
                <w:color w:val="000000"/>
                <w:sz w:val="20"/>
                <w:szCs w:val="20"/>
                <w:lang w:val="ro-RO"/>
              </w:rPr>
              <w:t>–1,19</w:t>
            </w:r>
          </w:p>
        </w:tc>
      </w:tr>
    </w:tbl>
    <w:p w14:paraId="524B5C91" w14:textId="77777777" w:rsidR="000C6E07" w:rsidRPr="000C6E07" w:rsidRDefault="000C6E07" w:rsidP="000C6E07">
      <w:pPr>
        <w:pStyle w:val="Default"/>
        <w:spacing w:after="120"/>
        <w:ind w:firstLine="539"/>
        <w:jc w:val="center"/>
      </w:pPr>
      <w:r w:rsidRPr="000C6E07">
        <w:rPr>
          <w:b/>
        </w:rPr>
        <w:t>Sursa:</w:t>
      </w:r>
      <w:r w:rsidRPr="000C6E07">
        <w:rPr>
          <w:i/>
        </w:rPr>
        <w:t xml:space="preserve"> </w:t>
      </w:r>
      <w:r w:rsidRPr="000C6E07">
        <w:rPr>
          <w:i/>
          <w:color w:val="333333"/>
          <w:shd w:val="clear" w:color="auto" w:fill="FFFFFF"/>
        </w:rPr>
        <w:t>Grupul de Lucru al Platformei Civice pentru Solidaritate</w:t>
      </w:r>
    </w:p>
    <w:p w14:paraId="7B9D46AF" w14:textId="77777777" w:rsidR="000C6E07" w:rsidRPr="000C6E07" w:rsidRDefault="000C6E07" w:rsidP="000C6E07">
      <w:pPr>
        <w:spacing w:after="0"/>
        <w:ind w:firstLine="540"/>
        <w:jc w:val="both"/>
        <w:rPr>
          <w:sz w:val="24"/>
          <w:lang w:val="ro-RO"/>
        </w:rPr>
      </w:pPr>
      <w:r w:rsidRPr="000C6E07">
        <w:rPr>
          <w:sz w:val="24"/>
          <w:szCs w:val="24"/>
          <w:lang w:val="ro-RO" w:eastAsia="ro-RO"/>
        </w:rPr>
        <w:t>În anul 2024 au fost inițiate 160 de cauze penale împotriva polițiștilor</w:t>
      </w:r>
      <w:r w:rsidRPr="000C6E07">
        <w:rPr>
          <w:sz w:val="24"/>
          <w:lang w:val="ro-RO"/>
        </w:rPr>
        <w:t>, din care 16 au vizat fapte de tortură și rele tratamente comise în timpul exercitării atribuțiilor de serviciu. Deși această cifră marchează o scădere semnificativă față de anul 2018, când au fost înregistrate 33 de astfel de cazuri, în ultimii ani numărul acestora s-a menținut relativ constant, situându-se între 16 și 20 pe an. În plus, în ultimii ani au fost inițiate cauze penale pentru exces de putere și pentru vătămarea intenționată gravă a integrității corporale sau a sănătății, aspecte care ridică semne de întrebare serioase cu privire la conduita profesională a unor polițiști.</w:t>
      </w:r>
      <w:r w:rsidRPr="000C6E07">
        <w:rPr>
          <w:color w:val="0070C0"/>
          <w:szCs w:val="24"/>
          <w:lang w:val="ro-RO"/>
        </w:rPr>
        <w:t xml:space="preserve"> </w:t>
      </w:r>
      <w:r w:rsidRPr="000C6E07">
        <w:rPr>
          <w:sz w:val="24"/>
          <w:lang w:val="ro-RO"/>
        </w:rPr>
        <w:t>Astfel, persistă îngrijorări privind utilizarea torturii și alte infracțiuni comise de angajați ai sistemului afacerilor interne în cadrul exercitării funcției.</w:t>
      </w:r>
    </w:p>
    <w:p w14:paraId="5BADA18E" w14:textId="77777777" w:rsidR="000C6E07" w:rsidRPr="000C6E07" w:rsidRDefault="000C6E07" w:rsidP="005349DF">
      <w:pPr>
        <w:spacing w:after="0"/>
        <w:ind w:firstLine="540"/>
        <w:jc w:val="center"/>
        <w:rPr>
          <w:b/>
          <w:sz w:val="24"/>
          <w:szCs w:val="24"/>
          <w:lang w:val="ro-RO" w:eastAsia="ro-RO"/>
        </w:rPr>
      </w:pPr>
      <w:r w:rsidRPr="000C6E07">
        <w:rPr>
          <w:b/>
          <w:sz w:val="24"/>
          <w:szCs w:val="24"/>
          <w:lang w:val="ro-RO" w:eastAsia="ro-RO"/>
        </w:rPr>
        <w:t>Tabelul 7. Cauze penale pornite în privința angajaților IGP pentru fapte de tortură sau tratamente inumane/degradante</w:t>
      </w:r>
    </w:p>
    <w:tbl>
      <w:tblPr>
        <w:tblW w:w="9325" w:type="dxa"/>
        <w:jc w:val="center"/>
        <w:tblLook w:val="04A0" w:firstRow="1" w:lastRow="0" w:firstColumn="1" w:lastColumn="0" w:noHBand="0" w:noVBand="1"/>
      </w:tblPr>
      <w:tblGrid>
        <w:gridCol w:w="5245"/>
        <w:gridCol w:w="1020"/>
        <w:gridCol w:w="1020"/>
        <w:gridCol w:w="1020"/>
        <w:gridCol w:w="1020"/>
      </w:tblGrid>
      <w:tr w:rsidR="000C6E07" w:rsidRPr="000C6E07" w14:paraId="0EC2CDDD" w14:textId="77777777" w:rsidTr="00C4074D">
        <w:trPr>
          <w:trHeight w:val="67"/>
          <w:jc w:val="center"/>
        </w:trPr>
        <w:tc>
          <w:tcPr>
            <w:tcW w:w="5245" w:type="dxa"/>
            <w:tcBorders>
              <w:top w:val="single" w:sz="4" w:space="0" w:color="auto"/>
              <w:left w:val="single" w:sz="4" w:space="0" w:color="auto"/>
              <w:bottom w:val="single" w:sz="4" w:space="0" w:color="auto"/>
              <w:right w:val="single" w:sz="4" w:space="0" w:color="auto"/>
            </w:tcBorders>
            <w:vAlign w:val="center"/>
            <w:hideMark/>
          </w:tcPr>
          <w:p w14:paraId="2F1BB9B3" w14:textId="77777777" w:rsidR="000C6E07" w:rsidRPr="000C6E07" w:rsidRDefault="000C6E07" w:rsidP="000C6E07">
            <w:pPr>
              <w:spacing w:after="0"/>
              <w:jc w:val="center"/>
              <w:rPr>
                <w:b/>
                <w:color w:val="000000"/>
                <w:sz w:val="20"/>
                <w:lang w:val="ro-RO"/>
              </w:rPr>
            </w:pPr>
            <w:r w:rsidRPr="000C6E07">
              <w:rPr>
                <w:b/>
                <w:color w:val="000000"/>
                <w:sz w:val="20"/>
                <w:lang w:val="ro-RO"/>
              </w:rPr>
              <w:t>Articolele vizate din Codul Penal</w:t>
            </w:r>
          </w:p>
        </w:tc>
        <w:tc>
          <w:tcPr>
            <w:tcW w:w="1020" w:type="dxa"/>
            <w:tcBorders>
              <w:top w:val="single" w:sz="4" w:space="0" w:color="auto"/>
              <w:left w:val="nil"/>
              <w:bottom w:val="single" w:sz="4" w:space="0" w:color="auto"/>
              <w:right w:val="single" w:sz="4" w:space="0" w:color="auto"/>
            </w:tcBorders>
            <w:noWrap/>
            <w:vAlign w:val="center"/>
            <w:hideMark/>
          </w:tcPr>
          <w:p w14:paraId="55AFDE32" w14:textId="77777777" w:rsidR="000C6E07" w:rsidRPr="000C6E07" w:rsidRDefault="000C6E07" w:rsidP="000C6E07">
            <w:pPr>
              <w:spacing w:after="0"/>
              <w:jc w:val="center"/>
              <w:rPr>
                <w:b/>
                <w:color w:val="000000"/>
                <w:sz w:val="20"/>
                <w:lang w:val="ro-RO"/>
              </w:rPr>
            </w:pPr>
            <w:r w:rsidRPr="000C6E07">
              <w:rPr>
                <w:b/>
                <w:color w:val="000000"/>
                <w:sz w:val="20"/>
                <w:lang w:val="ro-RO"/>
              </w:rPr>
              <w:t>2021</w:t>
            </w:r>
          </w:p>
        </w:tc>
        <w:tc>
          <w:tcPr>
            <w:tcW w:w="1020" w:type="dxa"/>
            <w:tcBorders>
              <w:top w:val="single" w:sz="4" w:space="0" w:color="auto"/>
              <w:left w:val="nil"/>
              <w:bottom w:val="single" w:sz="4" w:space="0" w:color="auto"/>
              <w:right w:val="single" w:sz="4" w:space="0" w:color="auto"/>
            </w:tcBorders>
            <w:noWrap/>
            <w:vAlign w:val="center"/>
            <w:hideMark/>
          </w:tcPr>
          <w:p w14:paraId="56EBF9A8" w14:textId="77777777" w:rsidR="000C6E07" w:rsidRPr="000C6E07" w:rsidRDefault="000C6E07" w:rsidP="000C6E07">
            <w:pPr>
              <w:spacing w:after="0"/>
              <w:jc w:val="center"/>
              <w:rPr>
                <w:b/>
                <w:color w:val="000000"/>
                <w:sz w:val="20"/>
                <w:lang w:val="ro-RO"/>
              </w:rPr>
            </w:pPr>
            <w:r w:rsidRPr="000C6E07">
              <w:rPr>
                <w:b/>
                <w:color w:val="000000"/>
                <w:sz w:val="20"/>
                <w:lang w:val="ro-RO"/>
              </w:rPr>
              <w:t>2022</w:t>
            </w:r>
          </w:p>
        </w:tc>
        <w:tc>
          <w:tcPr>
            <w:tcW w:w="1020" w:type="dxa"/>
            <w:tcBorders>
              <w:top w:val="single" w:sz="4" w:space="0" w:color="auto"/>
              <w:left w:val="nil"/>
              <w:bottom w:val="single" w:sz="4" w:space="0" w:color="auto"/>
              <w:right w:val="single" w:sz="4" w:space="0" w:color="auto"/>
            </w:tcBorders>
            <w:noWrap/>
            <w:vAlign w:val="center"/>
            <w:hideMark/>
          </w:tcPr>
          <w:p w14:paraId="35D58589" w14:textId="77777777" w:rsidR="000C6E07" w:rsidRPr="000C6E07" w:rsidRDefault="000C6E07" w:rsidP="000C6E07">
            <w:pPr>
              <w:spacing w:after="0"/>
              <w:jc w:val="center"/>
              <w:rPr>
                <w:b/>
                <w:color w:val="000000"/>
                <w:sz w:val="20"/>
                <w:lang w:val="ro-RO"/>
              </w:rPr>
            </w:pPr>
            <w:r w:rsidRPr="000C6E07">
              <w:rPr>
                <w:b/>
                <w:color w:val="000000"/>
                <w:sz w:val="20"/>
                <w:lang w:val="ro-RO"/>
              </w:rPr>
              <w:t>2023</w:t>
            </w:r>
          </w:p>
        </w:tc>
        <w:tc>
          <w:tcPr>
            <w:tcW w:w="1020" w:type="dxa"/>
            <w:tcBorders>
              <w:top w:val="single" w:sz="4" w:space="0" w:color="auto"/>
              <w:left w:val="nil"/>
              <w:bottom w:val="single" w:sz="4" w:space="0" w:color="auto"/>
              <w:right w:val="single" w:sz="4" w:space="0" w:color="auto"/>
            </w:tcBorders>
            <w:noWrap/>
            <w:vAlign w:val="center"/>
            <w:hideMark/>
          </w:tcPr>
          <w:p w14:paraId="5B70BB00" w14:textId="77777777" w:rsidR="000C6E07" w:rsidRPr="000C6E07" w:rsidRDefault="000C6E07" w:rsidP="000C6E07">
            <w:pPr>
              <w:spacing w:after="0"/>
              <w:jc w:val="center"/>
              <w:rPr>
                <w:b/>
                <w:color w:val="000000"/>
                <w:sz w:val="20"/>
                <w:lang w:val="ro-RO"/>
              </w:rPr>
            </w:pPr>
            <w:r w:rsidRPr="000C6E07">
              <w:rPr>
                <w:b/>
                <w:color w:val="000000"/>
                <w:sz w:val="20"/>
                <w:lang w:val="ro-RO"/>
              </w:rPr>
              <w:t>2024</w:t>
            </w:r>
          </w:p>
        </w:tc>
      </w:tr>
      <w:tr w:rsidR="000C6E07" w:rsidRPr="000C6E07" w14:paraId="42289FAA" w14:textId="77777777" w:rsidTr="00C4074D">
        <w:trPr>
          <w:trHeight w:val="67"/>
          <w:jc w:val="center"/>
        </w:trPr>
        <w:tc>
          <w:tcPr>
            <w:tcW w:w="5245" w:type="dxa"/>
            <w:tcBorders>
              <w:top w:val="nil"/>
              <w:left w:val="single" w:sz="4" w:space="0" w:color="auto"/>
              <w:bottom w:val="single" w:sz="4" w:space="0" w:color="auto"/>
              <w:right w:val="single" w:sz="4" w:space="0" w:color="auto"/>
            </w:tcBorders>
            <w:vAlign w:val="center"/>
            <w:hideMark/>
          </w:tcPr>
          <w:p w14:paraId="6260491C" w14:textId="77777777" w:rsidR="000C6E07" w:rsidRPr="000C6E07" w:rsidRDefault="000C6E07" w:rsidP="000C6E07">
            <w:pPr>
              <w:spacing w:after="0"/>
              <w:rPr>
                <w:color w:val="000000"/>
                <w:sz w:val="20"/>
                <w:lang w:val="ro-RO"/>
              </w:rPr>
            </w:pPr>
            <w:r w:rsidRPr="000C6E07">
              <w:rPr>
                <w:color w:val="000000"/>
                <w:sz w:val="20"/>
                <w:lang w:val="ro-RO"/>
              </w:rPr>
              <w:t>Art. 151 Vătămarea intenționată medie a integrității corporale sau a sănătății</w:t>
            </w:r>
          </w:p>
        </w:tc>
        <w:tc>
          <w:tcPr>
            <w:tcW w:w="1020" w:type="dxa"/>
            <w:tcBorders>
              <w:top w:val="nil"/>
              <w:left w:val="nil"/>
              <w:bottom w:val="single" w:sz="4" w:space="0" w:color="auto"/>
              <w:right w:val="single" w:sz="4" w:space="0" w:color="auto"/>
            </w:tcBorders>
            <w:noWrap/>
            <w:vAlign w:val="center"/>
            <w:hideMark/>
          </w:tcPr>
          <w:p w14:paraId="22E1AF5C"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47111D62"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76A124F2"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1F134AC8" w14:textId="77777777" w:rsidR="000C6E07" w:rsidRPr="000C6E07" w:rsidRDefault="000C6E07" w:rsidP="000C6E07">
            <w:pPr>
              <w:spacing w:after="0"/>
              <w:rPr>
                <w:color w:val="000000"/>
                <w:sz w:val="20"/>
                <w:lang w:val="ro-RO"/>
              </w:rPr>
            </w:pPr>
            <w:r w:rsidRPr="000C6E07">
              <w:rPr>
                <w:color w:val="000000"/>
                <w:sz w:val="20"/>
                <w:lang w:val="ro-RO"/>
              </w:rPr>
              <w:t> </w:t>
            </w:r>
          </w:p>
        </w:tc>
      </w:tr>
      <w:tr w:rsidR="000C6E07" w:rsidRPr="000C6E07" w14:paraId="05E62DB6" w14:textId="77777777" w:rsidTr="00C4074D">
        <w:trPr>
          <w:trHeight w:val="67"/>
          <w:jc w:val="center"/>
        </w:trPr>
        <w:tc>
          <w:tcPr>
            <w:tcW w:w="5245" w:type="dxa"/>
            <w:tcBorders>
              <w:top w:val="nil"/>
              <w:left w:val="single" w:sz="4" w:space="0" w:color="auto"/>
              <w:bottom w:val="single" w:sz="4" w:space="0" w:color="auto"/>
              <w:right w:val="single" w:sz="4" w:space="0" w:color="auto"/>
            </w:tcBorders>
            <w:noWrap/>
            <w:vAlign w:val="center"/>
            <w:hideMark/>
          </w:tcPr>
          <w:p w14:paraId="2B8221C3" w14:textId="77777777" w:rsidR="000C6E07" w:rsidRPr="000C6E07" w:rsidRDefault="000C6E07" w:rsidP="000C6E07">
            <w:pPr>
              <w:spacing w:after="0"/>
              <w:rPr>
                <w:color w:val="000000"/>
                <w:sz w:val="20"/>
                <w:lang w:val="ro-RO"/>
              </w:rPr>
            </w:pPr>
            <w:r w:rsidRPr="000C6E07">
              <w:rPr>
                <w:color w:val="000000"/>
                <w:sz w:val="20"/>
                <w:lang w:val="ro-RO"/>
              </w:rPr>
              <w:t>Art. 152 Vătămarea intenționată gravă a integrității corporale sau a sănătății</w:t>
            </w:r>
          </w:p>
        </w:tc>
        <w:tc>
          <w:tcPr>
            <w:tcW w:w="1020" w:type="dxa"/>
            <w:tcBorders>
              <w:top w:val="nil"/>
              <w:left w:val="nil"/>
              <w:bottom w:val="single" w:sz="4" w:space="0" w:color="auto"/>
              <w:right w:val="single" w:sz="4" w:space="0" w:color="auto"/>
            </w:tcBorders>
            <w:noWrap/>
            <w:vAlign w:val="center"/>
            <w:hideMark/>
          </w:tcPr>
          <w:p w14:paraId="3A5609FC"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11C9E1B7" w14:textId="77777777" w:rsidR="000C6E07" w:rsidRPr="000C6E07" w:rsidRDefault="000C6E07" w:rsidP="000C6E07">
            <w:pPr>
              <w:spacing w:after="0"/>
              <w:jc w:val="right"/>
              <w:rPr>
                <w:color w:val="000000"/>
                <w:sz w:val="20"/>
                <w:lang w:val="ro-RO"/>
              </w:rPr>
            </w:pPr>
            <w:r w:rsidRPr="000C6E07">
              <w:rPr>
                <w:color w:val="000000"/>
                <w:sz w:val="20"/>
                <w:lang w:val="ro-RO"/>
              </w:rPr>
              <w:t>2</w:t>
            </w:r>
          </w:p>
        </w:tc>
        <w:tc>
          <w:tcPr>
            <w:tcW w:w="1020" w:type="dxa"/>
            <w:tcBorders>
              <w:top w:val="nil"/>
              <w:left w:val="nil"/>
              <w:bottom w:val="single" w:sz="4" w:space="0" w:color="auto"/>
              <w:right w:val="single" w:sz="4" w:space="0" w:color="auto"/>
            </w:tcBorders>
            <w:noWrap/>
            <w:vAlign w:val="center"/>
            <w:hideMark/>
          </w:tcPr>
          <w:p w14:paraId="08E4E2CE"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4FDDAA96" w14:textId="77777777" w:rsidR="000C6E07" w:rsidRPr="000C6E07" w:rsidRDefault="000C6E07" w:rsidP="000C6E07">
            <w:pPr>
              <w:spacing w:after="0"/>
              <w:jc w:val="right"/>
              <w:rPr>
                <w:color w:val="000000"/>
                <w:sz w:val="20"/>
                <w:lang w:val="ro-RO"/>
              </w:rPr>
            </w:pPr>
            <w:r w:rsidRPr="000C6E07">
              <w:rPr>
                <w:color w:val="000000"/>
                <w:sz w:val="20"/>
                <w:lang w:val="ro-RO"/>
              </w:rPr>
              <w:t>1</w:t>
            </w:r>
          </w:p>
        </w:tc>
      </w:tr>
      <w:tr w:rsidR="000C6E07" w:rsidRPr="000C6E07" w14:paraId="08E376BE" w14:textId="77777777" w:rsidTr="00C4074D">
        <w:trPr>
          <w:trHeight w:val="67"/>
          <w:jc w:val="center"/>
        </w:trPr>
        <w:tc>
          <w:tcPr>
            <w:tcW w:w="5245" w:type="dxa"/>
            <w:tcBorders>
              <w:top w:val="nil"/>
              <w:left w:val="single" w:sz="4" w:space="0" w:color="auto"/>
              <w:bottom w:val="single" w:sz="4" w:space="0" w:color="auto"/>
              <w:right w:val="single" w:sz="4" w:space="0" w:color="auto"/>
            </w:tcBorders>
            <w:noWrap/>
            <w:vAlign w:val="center"/>
            <w:hideMark/>
          </w:tcPr>
          <w:p w14:paraId="6A746433" w14:textId="77777777" w:rsidR="000C6E07" w:rsidRPr="000C6E07" w:rsidRDefault="000C6E07" w:rsidP="000C6E07">
            <w:pPr>
              <w:spacing w:after="0"/>
              <w:rPr>
                <w:color w:val="000000"/>
                <w:sz w:val="20"/>
                <w:lang w:val="ro-RO"/>
              </w:rPr>
            </w:pPr>
            <w:r w:rsidRPr="000C6E07">
              <w:rPr>
                <w:color w:val="000000"/>
                <w:sz w:val="20"/>
                <w:lang w:val="ro-RO"/>
              </w:rPr>
              <w:t>Art. 1661 Tortură, tratamentul inuman sau degradant</w:t>
            </w:r>
          </w:p>
        </w:tc>
        <w:tc>
          <w:tcPr>
            <w:tcW w:w="1020" w:type="dxa"/>
            <w:tcBorders>
              <w:top w:val="nil"/>
              <w:left w:val="nil"/>
              <w:bottom w:val="single" w:sz="4" w:space="0" w:color="auto"/>
              <w:right w:val="single" w:sz="4" w:space="0" w:color="auto"/>
            </w:tcBorders>
            <w:noWrap/>
            <w:vAlign w:val="center"/>
            <w:hideMark/>
          </w:tcPr>
          <w:p w14:paraId="0E34E481" w14:textId="77777777" w:rsidR="000C6E07" w:rsidRPr="000C6E07" w:rsidRDefault="000C6E07" w:rsidP="000C6E07">
            <w:pPr>
              <w:spacing w:after="0"/>
              <w:jc w:val="right"/>
              <w:rPr>
                <w:color w:val="000000"/>
                <w:sz w:val="20"/>
                <w:lang w:val="ro-RO"/>
              </w:rPr>
            </w:pPr>
            <w:r w:rsidRPr="000C6E07">
              <w:rPr>
                <w:color w:val="000000"/>
                <w:sz w:val="20"/>
                <w:lang w:val="ro-RO"/>
              </w:rPr>
              <w:t>7</w:t>
            </w:r>
          </w:p>
        </w:tc>
        <w:tc>
          <w:tcPr>
            <w:tcW w:w="1020" w:type="dxa"/>
            <w:tcBorders>
              <w:top w:val="nil"/>
              <w:left w:val="nil"/>
              <w:bottom w:val="single" w:sz="4" w:space="0" w:color="auto"/>
              <w:right w:val="single" w:sz="4" w:space="0" w:color="auto"/>
            </w:tcBorders>
            <w:noWrap/>
            <w:vAlign w:val="center"/>
            <w:hideMark/>
          </w:tcPr>
          <w:p w14:paraId="1E2ED287" w14:textId="77777777" w:rsidR="000C6E07" w:rsidRPr="000C6E07" w:rsidRDefault="000C6E07" w:rsidP="000C6E07">
            <w:pPr>
              <w:spacing w:after="0"/>
              <w:jc w:val="right"/>
              <w:rPr>
                <w:color w:val="000000"/>
                <w:sz w:val="20"/>
                <w:lang w:val="ro-RO"/>
              </w:rPr>
            </w:pPr>
            <w:r w:rsidRPr="000C6E07">
              <w:rPr>
                <w:color w:val="000000"/>
                <w:sz w:val="20"/>
                <w:lang w:val="ro-RO"/>
              </w:rPr>
              <w:t>18</w:t>
            </w:r>
          </w:p>
        </w:tc>
        <w:tc>
          <w:tcPr>
            <w:tcW w:w="1020" w:type="dxa"/>
            <w:tcBorders>
              <w:top w:val="nil"/>
              <w:left w:val="nil"/>
              <w:bottom w:val="single" w:sz="4" w:space="0" w:color="auto"/>
              <w:right w:val="single" w:sz="4" w:space="0" w:color="auto"/>
            </w:tcBorders>
            <w:noWrap/>
            <w:vAlign w:val="center"/>
            <w:hideMark/>
          </w:tcPr>
          <w:p w14:paraId="054F3839" w14:textId="77777777" w:rsidR="000C6E07" w:rsidRPr="000C6E07" w:rsidRDefault="000C6E07" w:rsidP="000C6E07">
            <w:pPr>
              <w:spacing w:after="0"/>
              <w:jc w:val="right"/>
              <w:rPr>
                <w:color w:val="000000"/>
                <w:sz w:val="20"/>
                <w:lang w:val="ro-RO"/>
              </w:rPr>
            </w:pPr>
            <w:r w:rsidRPr="000C6E07">
              <w:rPr>
                <w:color w:val="000000"/>
                <w:sz w:val="20"/>
                <w:lang w:val="ro-RO"/>
              </w:rPr>
              <w:t>20</w:t>
            </w:r>
          </w:p>
        </w:tc>
        <w:tc>
          <w:tcPr>
            <w:tcW w:w="1020" w:type="dxa"/>
            <w:tcBorders>
              <w:top w:val="nil"/>
              <w:left w:val="nil"/>
              <w:bottom w:val="single" w:sz="4" w:space="0" w:color="auto"/>
              <w:right w:val="single" w:sz="4" w:space="0" w:color="auto"/>
            </w:tcBorders>
            <w:noWrap/>
            <w:vAlign w:val="center"/>
            <w:hideMark/>
          </w:tcPr>
          <w:p w14:paraId="4B2C9881" w14:textId="77777777" w:rsidR="000C6E07" w:rsidRPr="000C6E07" w:rsidRDefault="000C6E07" w:rsidP="000C6E07">
            <w:pPr>
              <w:spacing w:after="0"/>
              <w:jc w:val="right"/>
              <w:rPr>
                <w:color w:val="000000"/>
                <w:sz w:val="20"/>
                <w:lang w:val="ro-RO"/>
              </w:rPr>
            </w:pPr>
            <w:r w:rsidRPr="000C6E07">
              <w:rPr>
                <w:color w:val="000000"/>
                <w:sz w:val="20"/>
                <w:lang w:val="ro-RO"/>
              </w:rPr>
              <w:t>16</w:t>
            </w:r>
          </w:p>
        </w:tc>
      </w:tr>
      <w:tr w:rsidR="000C6E07" w:rsidRPr="000C6E07" w14:paraId="7C5707F4" w14:textId="77777777" w:rsidTr="00C4074D">
        <w:trPr>
          <w:trHeight w:val="67"/>
          <w:jc w:val="center"/>
        </w:trPr>
        <w:tc>
          <w:tcPr>
            <w:tcW w:w="5245" w:type="dxa"/>
            <w:tcBorders>
              <w:top w:val="nil"/>
              <w:left w:val="single" w:sz="4" w:space="0" w:color="auto"/>
              <w:bottom w:val="single" w:sz="4" w:space="0" w:color="auto"/>
              <w:right w:val="single" w:sz="4" w:space="0" w:color="auto"/>
            </w:tcBorders>
            <w:noWrap/>
            <w:vAlign w:val="center"/>
            <w:hideMark/>
          </w:tcPr>
          <w:p w14:paraId="194EFD64" w14:textId="77777777" w:rsidR="000C6E07" w:rsidRPr="000C6E07" w:rsidRDefault="000C6E07" w:rsidP="000C6E07">
            <w:pPr>
              <w:spacing w:after="0"/>
              <w:rPr>
                <w:color w:val="000000"/>
                <w:sz w:val="20"/>
                <w:lang w:val="ro-RO"/>
              </w:rPr>
            </w:pPr>
            <w:r w:rsidRPr="000C6E07">
              <w:rPr>
                <w:color w:val="000000"/>
                <w:sz w:val="20"/>
                <w:lang w:val="ro-RO"/>
              </w:rPr>
              <w:t>Art. 166 Privațiunea ilegală de libertate</w:t>
            </w:r>
          </w:p>
        </w:tc>
        <w:tc>
          <w:tcPr>
            <w:tcW w:w="1020" w:type="dxa"/>
            <w:tcBorders>
              <w:top w:val="nil"/>
              <w:left w:val="nil"/>
              <w:bottom w:val="single" w:sz="4" w:space="0" w:color="auto"/>
              <w:right w:val="single" w:sz="4" w:space="0" w:color="auto"/>
            </w:tcBorders>
            <w:noWrap/>
            <w:vAlign w:val="center"/>
            <w:hideMark/>
          </w:tcPr>
          <w:p w14:paraId="065B98CF"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0301E883"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7B419C9D"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1F2227A1" w14:textId="77777777" w:rsidR="000C6E07" w:rsidRPr="000C6E07" w:rsidRDefault="000C6E07" w:rsidP="000C6E07">
            <w:pPr>
              <w:spacing w:after="0"/>
              <w:jc w:val="right"/>
              <w:rPr>
                <w:color w:val="000000"/>
                <w:sz w:val="20"/>
                <w:lang w:val="ro-RO"/>
              </w:rPr>
            </w:pPr>
            <w:r w:rsidRPr="000C6E07">
              <w:rPr>
                <w:color w:val="000000"/>
                <w:sz w:val="20"/>
                <w:lang w:val="ro-RO"/>
              </w:rPr>
              <w:t>0</w:t>
            </w:r>
          </w:p>
        </w:tc>
      </w:tr>
      <w:tr w:rsidR="000C6E07" w:rsidRPr="000C6E07" w14:paraId="65563EEC" w14:textId="77777777" w:rsidTr="00C4074D">
        <w:trPr>
          <w:trHeight w:val="310"/>
          <w:jc w:val="center"/>
        </w:trPr>
        <w:tc>
          <w:tcPr>
            <w:tcW w:w="5245" w:type="dxa"/>
            <w:tcBorders>
              <w:top w:val="nil"/>
              <w:left w:val="single" w:sz="4" w:space="0" w:color="auto"/>
              <w:bottom w:val="single" w:sz="4" w:space="0" w:color="auto"/>
              <w:right w:val="single" w:sz="4" w:space="0" w:color="auto"/>
            </w:tcBorders>
            <w:noWrap/>
            <w:vAlign w:val="center"/>
            <w:hideMark/>
          </w:tcPr>
          <w:p w14:paraId="31D90BE2" w14:textId="77777777" w:rsidR="000C6E07" w:rsidRPr="000C6E07" w:rsidRDefault="000C6E07" w:rsidP="000C6E07">
            <w:pPr>
              <w:spacing w:after="0"/>
              <w:rPr>
                <w:color w:val="000000"/>
                <w:sz w:val="20"/>
                <w:lang w:val="ro-RO"/>
              </w:rPr>
            </w:pPr>
            <w:r w:rsidRPr="000C6E07">
              <w:rPr>
                <w:color w:val="000000"/>
                <w:sz w:val="20"/>
                <w:lang w:val="ro-RO"/>
              </w:rPr>
              <w:t>Art. 309 Constrângerea de a face declarații</w:t>
            </w:r>
          </w:p>
        </w:tc>
        <w:tc>
          <w:tcPr>
            <w:tcW w:w="1020" w:type="dxa"/>
            <w:tcBorders>
              <w:top w:val="nil"/>
              <w:left w:val="nil"/>
              <w:bottom w:val="single" w:sz="4" w:space="0" w:color="auto"/>
              <w:right w:val="single" w:sz="4" w:space="0" w:color="auto"/>
            </w:tcBorders>
            <w:noWrap/>
            <w:vAlign w:val="center"/>
            <w:hideMark/>
          </w:tcPr>
          <w:p w14:paraId="6EA9BAD6" w14:textId="77777777" w:rsidR="000C6E07" w:rsidRPr="000C6E07" w:rsidRDefault="000C6E07" w:rsidP="000C6E07">
            <w:pPr>
              <w:spacing w:after="0"/>
              <w:rPr>
                <w:color w:val="000000"/>
                <w:sz w:val="20"/>
                <w:lang w:val="ro-RO"/>
              </w:rPr>
            </w:pPr>
            <w:r w:rsidRPr="000C6E07">
              <w:rPr>
                <w:color w:val="000000"/>
                <w:sz w:val="20"/>
                <w:lang w:val="ro-RO"/>
              </w:rPr>
              <w:t> </w:t>
            </w:r>
          </w:p>
        </w:tc>
        <w:tc>
          <w:tcPr>
            <w:tcW w:w="1020" w:type="dxa"/>
            <w:tcBorders>
              <w:top w:val="nil"/>
              <w:left w:val="nil"/>
              <w:bottom w:val="single" w:sz="4" w:space="0" w:color="auto"/>
              <w:right w:val="single" w:sz="4" w:space="0" w:color="auto"/>
            </w:tcBorders>
            <w:noWrap/>
            <w:vAlign w:val="center"/>
            <w:hideMark/>
          </w:tcPr>
          <w:p w14:paraId="00718680"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1E419F90"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56932098" w14:textId="77777777" w:rsidR="000C6E07" w:rsidRPr="000C6E07" w:rsidRDefault="000C6E07" w:rsidP="000C6E07">
            <w:pPr>
              <w:spacing w:after="0"/>
              <w:jc w:val="right"/>
              <w:rPr>
                <w:color w:val="000000"/>
                <w:sz w:val="20"/>
                <w:lang w:val="ro-RO"/>
              </w:rPr>
            </w:pPr>
            <w:r w:rsidRPr="000C6E07">
              <w:rPr>
                <w:color w:val="000000"/>
                <w:sz w:val="20"/>
                <w:lang w:val="ro-RO"/>
              </w:rPr>
              <w:t>0</w:t>
            </w:r>
          </w:p>
        </w:tc>
      </w:tr>
      <w:tr w:rsidR="000C6E07" w:rsidRPr="000C6E07" w14:paraId="574A4FC3" w14:textId="77777777" w:rsidTr="00C4074D">
        <w:trPr>
          <w:trHeight w:val="310"/>
          <w:jc w:val="center"/>
        </w:trPr>
        <w:tc>
          <w:tcPr>
            <w:tcW w:w="5245" w:type="dxa"/>
            <w:tcBorders>
              <w:top w:val="nil"/>
              <w:left w:val="single" w:sz="4" w:space="0" w:color="auto"/>
              <w:bottom w:val="single" w:sz="4" w:space="0" w:color="auto"/>
              <w:right w:val="single" w:sz="4" w:space="0" w:color="auto"/>
            </w:tcBorders>
            <w:noWrap/>
            <w:vAlign w:val="center"/>
            <w:hideMark/>
          </w:tcPr>
          <w:p w14:paraId="38B8C1D8" w14:textId="77777777" w:rsidR="000C6E07" w:rsidRPr="000C6E07" w:rsidRDefault="000C6E07" w:rsidP="000C6E07">
            <w:pPr>
              <w:spacing w:after="0"/>
              <w:rPr>
                <w:color w:val="000000"/>
                <w:sz w:val="20"/>
                <w:lang w:val="ro-RO"/>
              </w:rPr>
            </w:pPr>
            <w:r w:rsidRPr="000C6E07">
              <w:rPr>
                <w:color w:val="000000"/>
                <w:sz w:val="20"/>
                <w:lang w:val="ro-RO"/>
              </w:rPr>
              <w:t>Art. 328 Excesul de putere sau depășirea atribuțiilor de serviciu</w:t>
            </w:r>
          </w:p>
        </w:tc>
        <w:tc>
          <w:tcPr>
            <w:tcW w:w="1020" w:type="dxa"/>
            <w:tcBorders>
              <w:top w:val="nil"/>
              <w:left w:val="nil"/>
              <w:bottom w:val="single" w:sz="4" w:space="0" w:color="auto"/>
              <w:right w:val="single" w:sz="4" w:space="0" w:color="auto"/>
            </w:tcBorders>
            <w:noWrap/>
            <w:vAlign w:val="center"/>
            <w:hideMark/>
          </w:tcPr>
          <w:p w14:paraId="22F15AB4" w14:textId="77777777" w:rsidR="000C6E07" w:rsidRPr="000C6E07" w:rsidRDefault="000C6E07" w:rsidP="000C6E07">
            <w:pPr>
              <w:spacing w:after="0"/>
              <w:jc w:val="right"/>
              <w:rPr>
                <w:color w:val="000000"/>
                <w:sz w:val="20"/>
                <w:lang w:val="ro-RO"/>
              </w:rPr>
            </w:pPr>
            <w:r w:rsidRPr="000C6E07">
              <w:rPr>
                <w:color w:val="000000"/>
                <w:sz w:val="20"/>
                <w:lang w:val="ro-RO"/>
              </w:rPr>
              <w:t>1</w:t>
            </w:r>
          </w:p>
        </w:tc>
        <w:tc>
          <w:tcPr>
            <w:tcW w:w="1020" w:type="dxa"/>
            <w:tcBorders>
              <w:top w:val="nil"/>
              <w:left w:val="nil"/>
              <w:bottom w:val="single" w:sz="4" w:space="0" w:color="auto"/>
              <w:right w:val="single" w:sz="4" w:space="0" w:color="auto"/>
            </w:tcBorders>
            <w:noWrap/>
            <w:vAlign w:val="center"/>
            <w:hideMark/>
          </w:tcPr>
          <w:p w14:paraId="20318010" w14:textId="77777777" w:rsidR="000C6E07" w:rsidRPr="000C6E07" w:rsidRDefault="000C6E07" w:rsidP="000C6E07">
            <w:pPr>
              <w:spacing w:after="0"/>
              <w:jc w:val="right"/>
              <w:rPr>
                <w:color w:val="000000"/>
                <w:sz w:val="20"/>
                <w:lang w:val="ro-RO"/>
              </w:rPr>
            </w:pPr>
            <w:r w:rsidRPr="000C6E07">
              <w:rPr>
                <w:color w:val="000000"/>
                <w:sz w:val="20"/>
                <w:lang w:val="ro-RO"/>
              </w:rPr>
              <w:t>0</w:t>
            </w:r>
          </w:p>
        </w:tc>
        <w:tc>
          <w:tcPr>
            <w:tcW w:w="1020" w:type="dxa"/>
            <w:tcBorders>
              <w:top w:val="nil"/>
              <w:left w:val="nil"/>
              <w:bottom w:val="single" w:sz="4" w:space="0" w:color="auto"/>
              <w:right w:val="single" w:sz="4" w:space="0" w:color="auto"/>
            </w:tcBorders>
            <w:noWrap/>
            <w:vAlign w:val="center"/>
            <w:hideMark/>
          </w:tcPr>
          <w:p w14:paraId="260AA308" w14:textId="77777777" w:rsidR="000C6E07" w:rsidRPr="000C6E07" w:rsidRDefault="000C6E07" w:rsidP="000C6E07">
            <w:pPr>
              <w:spacing w:after="0"/>
              <w:jc w:val="right"/>
              <w:rPr>
                <w:color w:val="000000"/>
                <w:sz w:val="20"/>
                <w:lang w:val="ro-RO"/>
              </w:rPr>
            </w:pPr>
            <w:r w:rsidRPr="000C6E07">
              <w:rPr>
                <w:color w:val="000000"/>
                <w:sz w:val="20"/>
                <w:lang w:val="ro-RO"/>
              </w:rPr>
              <w:t>1</w:t>
            </w:r>
          </w:p>
        </w:tc>
        <w:tc>
          <w:tcPr>
            <w:tcW w:w="1020" w:type="dxa"/>
            <w:tcBorders>
              <w:top w:val="nil"/>
              <w:left w:val="nil"/>
              <w:bottom w:val="single" w:sz="4" w:space="0" w:color="auto"/>
              <w:right w:val="single" w:sz="4" w:space="0" w:color="auto"/>
            </w:tcBorders>
            <w:noWrap/>
            <w:vAlign w:val="center"/>
            <w:hideMark/>
          </w:tcPr>
          <w:p w14:paraId="011D2CBF" w14:textId="77777777" w:rsidR="000C6E07" w:rsidRPr="000C6E07" w:rsidRDefault="000C6E07" w:rsidP="000C6E07">
            <w:pPr>
              <w:spacing w:after="0"/>
              <w:jc w:val="right"/>
              <w:rPr>
                <w:color w:val="000000"/>
                <w:sz w:val="20"/>
                <w:lang w:val="ro-RO"/>
              </w:rPr>
            </w:pPr>
            <w:r w:rsidRPr="000C6E07">
              <w:rPr>
                <w:color w:val="000000"/>
                <w:sz w:val="20"/>
                <w:lang w:val="ro-RO"/>
              </w:rPr>
              <w:t>2</w:t>
            </w:r>
          </w:p>
        </w:tc>
      </w:tr>
    </w:tbl>
    <w:p w14:paraId="58E2C468" w14:textId="77777777" w:rsidR="000C6E07" w:rsidRPr="000C6E07" w:rsidRDefault="000C6E07" w:rsidP="000C6E07">
      <w:pPr>
        <w:pStyle w:val="Default"/>
        <w:spacing w:after="120"/>
        <w:ind w:firstLine="539"/>
        <w:jc w:val="center"/>
        <w:rPr>
          <w:b/>
        </w:rPr>
      </w:pPr>
      <w:r w:rsidRPr="000C6E07">
        <w:rPr>
          <w:b/>
        </w:rPr>
        <w:t xml:space="preserve">Sursa: </w:t>
      </w:r>
      <w:r w:rsidRPr="000C6E07">
        <w:rPr>
          <w:i/>
        </w:rPr>
        <w:t>Inspectoratul General al Poliției</w:t>
      </w:r>
    </w:p>
    <w:p w14:paraId="0E95A38C" w14:textId="0EA29FC2" w:rsidR="000C6E07" w:rsidRPr="000C6E07" w:rsidRDefault="000C6E07" w:rsidP="000C6E07">
      <w:pPr>
        <w:pStyle w:val="61"/>
        <w:spacing w:before="0" w:beforeAutospacing="0" w:after="0" w:line="240" w:lineRule="auto"/>
        <w:ind w:firstLine="540"/>
        <w:jc w:val="both"/>
        <w:rPr>
          <w:bCs/>
          <w:sz w:val="24"/>
          <w:szCs w:val="24"/>
          <w:lang w:val="ro-RO" w:eastAsia="ro-RO"/>
        </w:rPr>
      </w:pPr>
      <w:r w:rsidRPr="000C6E07">
        <w:rPr>
          <w:rFonts w:ascii="Times New Roman" w:hAnsi="Times New Roman" w:cs="Times New Roman"/>
          <w:b/>
          <w:bCs/>
          <w:sz w:val="24"/>
          <w:szCs w:val="24"/>
          <w:lang w:val="ro-RO" w:eastAsia="ro-RO"/>
        </w:rPr>
        <w:t>Potrivit Oficiului Avocatului Poporului, polițiștii continuă să facă abuz de prerogativele legale la reținerea persoanelor.</w:t>
      </w:r>
      <w:r w:rsidRPr="000C6E07">
        <w:rPr>
          <w:rFonts w:ascii="Times New Roman" w:hAnsi="Times New Roman" w:cs="Times New Roman"/>
          <w:bCs/>
          <w:sz w:val="24"/>
          <w:szCs w:val="24"/>
          <w:lang w:val="ro-RO" w:eastAsia="ro-RO"/>
        </w:rPr>
        <w:t xml:space="preserve"> Astfel, numărul cazurilor de vătămări ale integrității corporale, ca urmare a uzului de forță la reținere, este în continuă creștere, comparativ cu anul 2022.</w:t>
      </w:r>
      <w:r w:rsidRPr="000C6E07">
        <w:rPr>
          <w:rFonts w:ascii="Times New Roman" w:hAnsi="Times New Roman" w:cs="Times New Roman"/>
          <w:bCs/>
          <w:sz w:val="24"/>
          <w:szCs w:val="24"/>
          <w:vertAlign w:val="superscript"/>
          <w:lang w:val="ro-RO" w:eastAsia="ro-RO"/>
        </w:rPr>
        <w:footnoteReference w:id="24"/>
      </w:r>
      <w:r w:rsidRPr="000C6E07">
        <w:rPr>
          <w:rFonts w:ascii="Times New Roman" w:hAnsi="Times New Roman" w:cs="Times New Roman"/>
          <w:bCs/>
          <w:sz w:val="24"/>
          <w:szCs w:val="24"/>
          <w:lang w:val="ro-RO" w:eastAsia="ro-RO"/>
        </w:rPr>
        <w:t xml:space="preserve"> În 6 luni</w:t>
      </w:r>
      <w:r w:rsidR="007F4FE2">
        <w:rPr>
          <w:rFonts w:ascii="Times New Roman" w:hAnsi="Times New Roman" w:cs="Times New Roman"/>
          <w:bCs/>
          <w:sz w:val="24"/>
          <w:szCs w:val="24"/>
          <w:lang w:val="ro-RO" w:eastAsia="ro-RO"/>
        </w:rPr>
        <w:t xml:space="preserve"> ale</w:t>
      </w:r>
      <w:r w:rsidRPr="000C6E07">
        <w:rPr>
          <w:rFonts w:ascii="Times New Roman" w:hAnsi="Times New Roman" w:cs="Times New Roman"/>
          <w:bCs/>
          <w:sz w:val="24"/>
          <w:szCs w:val="24"/>
          <w:lang w:val="ro-RO" w:eastAsia="ro-RO"/>
        </w:rPr>
        <w:t xml:space="preserve"> anul</w:t>
      </w:r>
      <w:r w:rsidR="007F4FE2">
        <w:rPr>
          <w:rFonts w:ascii="Times New Roman" w:hAnsi="Times New Roman" w:cs="Times New Roman"/>
          <w:bCs/>
          <w:sz w:val="24"/>
          <w:szCs w:val="24"/>
          <w:lang w:val="ro-RO" w:eastAsia="ro-RO"/>
        </w:rPr>
        <w:t>ui</w:t>
      </w:r>
      <w:r w:rsidRPr="000C6E07">
        <w:rPr>
          <w:rFonts w:ascii="Times New Roman" w:hAnsi="Times New Roman" w:cs="Times New Roman"/>
          <w:bCs/>
          <w:sz w:val="24"/>
          <w:szCs w:val="24"/>
          <w:lang w:val="ro-RO" w:eastAsia="ro-RO"/>
        </w:rPr>
        <w:t xml:space="preserve"> 2024, din 201 de persoane reținute de poliție la care au fost depistate leziuni corporale, 22 de persoane au declarat că leziunile corporale au fost cauzate în timpul reținerii,</w:t>
      </w:r>
      <w:r w:rsidRPr="000C6E07">
        <w:rPr>
          <w:rStyle w:val="aff3"/>
          <w:rFonts w:ascii="Times New Roman" w:hAnsi="Times New Roman"/>
          <w:bCs/>
          <w:sz w:val="24"/>
          <w:szCs w:val="24"/>
          <w:lang w:val="ro-RO" w:eastAsia="ro-RO"/>
        </w:rPr>
        <w:footnoteReference w:id="25"/>
      </w:r>
      <w:r w:rsidRPr="000C6E07">
        <w:rPr>
          <w:rFonts w:ascii="Times New Roman" w:hAnsi="Times New Roman" w:cs="Times New Roman"/>
          <w:bCs/>
          <w:sz w:val="24"/>
          <w:szCs w:val="24"/>
          <w:lang w:val="ro-RO" w:eastAsia="ro-RO"/>
        </w:rPr>
        <w:t xml:space="preserve"> comparativ cu 38 de cazuri în 2022</w:t>
      </w:r>
      <w:r w:rsidRPr="000C6E07">
        <w:rPr>
          <w:rFonts w:ascii="Times New Roman" w:hAnsi="Times New Roman" w:cs="Times New Roman"/>
          <w:sz w:val="24"/>
          <w:vertAlign w:val="superscript"/>
          <w:lang w:val="ro-RO"/>
        </w:rPr>
        <w:footnoteReference w:id="26"/>
      </w:r>
      <w:r w:rsidRPr="000C6E07">
        <w:rPr>
          <w:rFonts w:ascii="Times New Roman" w:hAnsi="Times New Roman" w:cs="Times New Roman"/>
          <w:bCs/>
          <w:sz w:val="24"/>
          <w:szCs w:val="24"/>
          <w:lang w:val="ro-RO" w:eastAsia="ro-RO"/>
        </w:rPr>
        <w:t>.</w:t>
      </w:r>
    </w:p>
    <w:p w14:paraId="1DAFFC91" w14:textId="77777777" w:rsidR="000C6E07" w:rsidRPr="000C6E07" w:rsidRDefault="000C6E07" w:rsidP="000C6E07">
      <w:pPr>
        <w:pStyle w:val="61"/>
        <w:spacing w:before="0" w:beforeAutospacing="0" w:after="0" w:line="240" w:lineRule="auto"/>
        <w:ind w:firstLine="540"/>
        <w:jc w:val="both"/>
        <w:rPr>
          <w:bCs/>
          <w:sz w:val="24"/>
          <w:szCs w:val="24"/>
          <w:lang w:val="ro-RO" w:eastAsia="ro-RO"/>
        </w:rPr>
      </w:pPr>
      <w:r w:rsidRPr="000C6E07">
        <w:rPr>
          <w:rFonts w:ascii="Times New Roman" w:hAnsi="Times New Roman" w:cs="Times New Roman"/>
          <w:bCs/>
          <w:sz w:val="24"/>
          <w:szCs w:val="24"/>
          <w:lang w:val="ro-RO" w:eastAsia="ro-RO"/>
        </w:rPr>
        <w:t xml:space="preserve">În perioada anterioară au fost evaluate procesele pentru conformarea condițiilor, procedurilor și practicilor din sistemul MAI la standardele internaționale privind aplicarea măsurilor privative și non </w:t>
      </w:r>
      <w:r w:rsidRPr="000C6E07">
        <w:rPr>
          <w:rFonts w:ascii="Times New Roman" w:hAnsi="Times New Roman" w:cs="Times New Roman"/>
          <w:bCs/>
          <w:sz w:val="24"/>
          <w:szCs w:val="24"/>
          <w:lang w:val="ro-RO" w:eastAsia="ro-RO"/>
        </w:rPr>
        <w:lastRenderedPageBreak/>
        <w:t>privative de libertate, precum și crearea condițiilor de garantare a respectării drepturilor persoanelor în cadrul procedurilor desfășurate de Poliție. A fost</w:t>
      </w:r>
      <w:r w:rsidRPr="000C6E07">
        <w:rPr>
          <w:rFonts w:ascii="Times New Roman" w:hAnsi="Times New Roman"/>
          <w:sz w:val="24"/>
          <w:lang w:val="ro-RO"/>
        </w:rPr>
        <w:t xml:space="preserve"> revizuit mecanismul de suportare a costurilor pentru eliberarea actelor de identitate ale persoanelor aflate în custodia Poliției, iar </w:t>
      </w:r>
      <w:r w:rsidRPr="000C6E07">
        <w:rPr>
          <w:rFonts w:ascii="Times New Roman" w:hAnsi="Times New Roman" w:cs="Times New Roman"/>
          <w:bCs/>
          <w:sz w:val="24"/>
          <w:szCs w:val="24"/>
          <w:lang w:val="ro-RO" w:eastAsia="ro-RO"/>
        </w:rPr>
        <w:t>IGP a elaborat un Raport privind recomandările înaintate de către organizațiile naționale și internaționale pe segmentul reținerii persoanelor de către Poliție (nr. 34/16-579 din 21 mai 2024). Totodată, a continuat dotarea serviciilor de detenție și escortă din cadrul subdiviziunilor teritoriale cu 40 de detectoare de metal portative, au fost instruiți circa 58% din angajații serviciilor detenție și escortă și 100 de angajați au fost pregătiți în calitate de formatori pe componenta tactici de bază. De asemenea au fost aprobate normele de hrană, de asigurare cu obiecte de igienă de primă necesitate pentru persoanele reținute aflate în izolatoarele de detenție provizorie (Ordinul IGP nr.436/2024). În privința spațiilor necesare pentru garantarea respectării drepturilor omului, din lipsă de finanțare, nu s-a înregistrat nici un progres privind extinderea, indicatorul rămânând la același nivel de referință ca în 2022 – doar 28% din spațiile necesare fiind disponibile.</w:t>
      </w:r>
      <w:r w:rsidRPr="000C6E07">
        <w:rPr>
          <w:rFonts w:ascii="Times New Roman" w:hAnsi="Times New Roman"/>
          <w:sz w:val="24"/>
          <w:lang w:val="ro-RO"/>
        </w:rPr>
        <w:t xml:space="preserve"> </w:t>
      </w:r>
    </w:p>
    <w:p w14:paraId="0378FDD4" w14:textId="77777777" w:rsidR="000C6E07" w:rsidRPr="000C6E07" w:rsidRDefault="000C6E07" w:rsidP="000C6E07">
      <w:pPr>
        <w:pStyle w:val="42"/>
        <w:spacing w:before="0" w:beforeAutospacing="0" w:after="0" w:line="240" w:lineRule="auto"/>
        <w:ind w:firstLine="540"/>
        <w:jc w:val="both"/>
        <w:rPr>
          <w:rFonts w:ascii="Times New Roman" w:hAnsi="Times New Roman" w:cs="Times New Roman"/>
          <w:sz w:val="24"/>
          <w:lang w:val="ro-RO"/>
        </w:rPr>
      </w:pPr>
      <w:r w:rsidRPr="000C6E07">
        <w:rPr>
          <w:rFonts w:ascii="Times New Roman" w:hAnsi="Times New Roman" w:cs="Times New Roman"/>
          <w:sz w:val="24"/>
          <w:lang w:val="ro-RO"/>
        </w:rPr>
        <w:t xml:space="preserve">În ultimii ani au fost inițiate cauze penale și în privința unor carabinieri, dar semnificativ mai puține decât în privința polițiștilor (7 în 2023). Deși, acestea nu au vizat fapte de tortură sau rele tratamente, unele dintre acuzațiile formulate ridică serioase semne de îngrijorare, cum ar fi deținerea sau distribuirea de pornografie infantilă, ori conducerea unui vehicul sub influența alcoolului peste limita legală sau a altor substanțe </w:t>
      </w:r>
      <w:proofErr w:type="spellStart"/>
      <w:r w:rsidRPr="000C6E07">
        <w:rPr>
          <w:rFonts w:ascii="Times New Roman" w:hAnsi="Times New Roman" w:cs="Times New Roman"/>
          <w:sz w:val="24"/>
          <w:lang w:val="ro-RO"/>
        </w:rPr>
        <w:t>psihoactive</w:t>
      </w:r>
      <w:proofErr w:type="spellEnd"/>
      <w:r w:rsidRPr="000C6E07">
        <w:rPr>
          <w:rFonts w:ascii="Times New Roman" w:hAnsi="Times New Roman" w:cs="Times New Roman"/>
          <w:sz w:val="24"/>
          <w:lang w:val="ro-RO"/>
        </w:rPr>
        <w:t>.</w:t>
      </w:r>
    </w:p>
    <w:p w14:paraId="53AE5581" w14:textId="77777777" w:rsidR="000C6E07" w:rsidRPr="000C6E07" w:rsidRDefault="000C6E07" w:rsidP="005349DF">
      <w:pPr>
        <w:spacing w:before="120" w:after="0"/>
        <w:ind w:firstLine="539"/>
        <w:jc w:val="center"/>
        <w:rPr>
          <w:b/>
          <w:color w:val="0070C0"/>
          <w:szCs w:val="24"/>
          <w:lang w:val="ro-RO"/>
        </w:rPr>
      </w:pPr>
      <w:r w:rsidRPr="000C6E07">
        <w:rPr>
          <w:b/>
          <w:sz w:val="24"/>
          <w:szCs w:val="24"/>
          <w:lang w:val="ro-RO" w:eastAsia="ro-RO"/>
        </w:rPr>
        <w:t>Tabelul 8. Cauze penale pornite în privința angajaților IGP</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47"/>
        <w:gridCol w:w="947"/>
        <w:gridCol w:w="947"/>
      </w:tblGrid>
      <w:tr w:rsidR="000C6E07" w:rsidRPr="000C6E07" w14:paraId="288ED4D7" w14:textId="77777777" w:rsidTr="000C6E07">
        <w:trPr>
          <w:trHeight w:val="300"/>
          <w:jc w:val="center"/>
        </w:trPr>
        <w:tc>
          <w:tcPr>
            <w:tcW w:w="5524" w:type="dxa"/>
            <w:vAlign w:val="center"/>
            <w:hideMark/>
          </w:tcPr>
          <w:p w14:paraId="62130523" w14:textId="77777777" w:rsidR="000C6E07" w:rsidRPr="000C6E07" w:rsidRDefault="000C6E07" w:rsidP="000C6E07">
            <w:pPr>
              <w:spacing w:after="0"/>
              <w:rPr>
                <w:rFonts w:cs="Times New Roman"/>
                <w:b/>
                <w:bCs/>
                <w:color w:val="000000"/>
                <w:sz w:val="20"/>
                <w:szCs w:val="20"/>
                <w:lang w:val="ro-RO"/>
              </w:rPr>
            </w:pPr>
            <w:r w:rsidRPr="000C6E07">
              <w:rPr>
                <w:rFonts w:cs="Times New Roman"/>
                <w:b/>
                <w:bCs/>
                <w:color w:val="000000"/>
                <w:sz w:val="20"/>
                <w:szCs w:val="20"/>
                <w:lang w:val="ro-RO"/>
              </w:rPr>
              <w:t>Cauze penale pornite în privința angajaților IGC</w:t>
            </w:r>
          </w:p>
        </w:tc>
        <w:tc>
          <w:tcPr>
            <w:tcW w:w="947" w:type="dxa"/>
            <w:vAlign w:val="center"/>
            <w:hideMark/>
          </w:tcPr>
          <w:p w14:paraId="67E7729E" w14:textId="77777777" w:rsidR="000C6E07" w:rsidRPr="000C6E07" w:rsidRDefault="000C6E07" w:rsidP="000C6E07">
            <w:pPr>
              <w:spacing w:after="0"/>
              <w:jc w:val="center"/>
              <w:rPr>
                <w:rFonts w:cs="Times New Roman"/>
                <w:b/>
                <w:bCs/>
                <w:color w:val="000000"/>
                <w:sz w:val="20"/>
                <w:szCs w:val="20"/>
                <w:lang w:val="ro-RO"/>
              </w:rPr>
            </w:pPr>
            <w:r w:rsidRPr="000C6E07">
              <w:rPr>
                <w:rFonts w:cs="Times New Roman"/>
                <w:b/>
                <w:bCs/>
                <w:color w:val="000000"/>
                <w:sz w:val="20"/>
                <w:szCs w:val="20"/>
                <w:lang w:val="ro-RO"/>
              </w:rPr>
              <w:t>2022</w:t>
            </w:r>
          </w:p>
        </w:tc>
        <w:tc>
          <w:tcPr>
            <w:tcW w:w="947" w:type="dxa"/>
            <w:vAlign w:val="center"/>
            <w:hideMark/>
          </w:tcPr>
          <w:p w14:paraId="3524FD87" w14:textId="77777777" w:rsidR="000C6E07" w:rsidRPr="000C6E07" w:rsidRDefault="000C6E07" w:rsidP="000C6E07">
            <w:pPr>
              <w:spacing w:after="0"/>
              <w:jc w:val="center"/>
              <w:rPr>
                <w:rFonts w:cs="Times New Roman"/>
                <w:b/>
                <w:bCs/>
                <w:color w:val="000000"/>
                <w:sz w:val="20"/>
                <w:szCs w:val="20"/>
                <w:lang w:val="ro-RO"/>
              </w:rPr>
            </w:pPr>
            <w:r w:rsidRPr="000C6E07">
              <w:rPr>
                <w:rFonts w:cs="Times New Roman"/>
                <w:b/>
                <w:bCs/>
                <w:color w:val="000000"/>
                <w:sz w:val="20"/>
                <w:szCs w:val="20"/>
                <w:lang w:val="ro-RO"/>
              </w:rPr>
              <w:t>2023</w:t>
            </w:r>
          </w:p>
        </w:tc>
        <w:tc>
          <w:tcPr>
            <w:tcW w:w="947" w:type="dxa"/>
            <w:vAlign w:val="center"/>
            <w:hideMark/>
          </w:tcPr>
          <w:p w14:paraId="671EED9F" w14:textId="77777777" w:rsidR="000C6E07" w:rsidRPr="000C6E07" w:rsidRDefault="000C6E07" w:rsidP="000C6E07">
            <w:pPr>
              <w:spacing w:after="0"/>
              <w:jc w:val="center"/>
              <w:rPr>
                <w:rFonts w:cs="Times New Roman"/>
                <w:b/>
                <w:bCs/>
                <w:color w:val="000000"/>
                <w:sz w:val="20"/>
                <w:szCs w:val="20"/>
                <w:lang w:val="ro-RO"/>
              </w:rPr>
            </w:pPr>
            <w:r w:rsidRPr="000C6E07">
              <w:rPr>
                <w:rFonts w:cs="Times New Roman"/>
                <w:b/>
                <w:bCs/>
                <w:color w:val="000000"/>
                <w:sz w:val="20"/>
                <w:szCs w:val="20"/>
                <w:lang w:val="ro-RO"/>
              </w:rPr>
              <w:t>2024</w:t>
            </w:r>
          </w:p>
        </w:tc>
      </w:tr>
      <w:tr w:rsidR="000C6E07" w:rsidRPr="000C6E07" w14:paraId="628A2AA1" w14:textId="77777777" w:rsidTr="000C6E07">
        <w:trPr>
          <w:trHeight w:val="180"/>
          <w:jc w:val="center"/>
        </w:trPr>
        <w:tc>
          <w:tcPr>
            <w:tcW w:w="5524" w:type="dxa"/>
            <w:vAlign w:val="center"/>
            <w:hideMark/>
          </w:tcPr>
          <w:p w14:paraId="0A87FB0C"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art.264</w:t>
            </w:r>
            <w:r w:rsidRPr="000C6E07">
              <w:rPr>
                <w:rFonts w:cs="Times New Roman"/>
                <w:color w:val="000000"/>
                <w:sz w:val="20"/>
                <w:szCs w:val="20"/>
                <w:vertAlign w:val="superscript"/>
                <w:lang w:val="ro-RO"/>
              </w:rPr>
              <w:t xml:space="preserve">1 </w:t>
            </w:r>
            <w:r w:rsidRPr="000C6E07">
              <w:rPr>
                <w:rFonts w:cs="Times New Roman"/>
                <w:color w:val="000000"/>
                <w:sz w:val="20"/>
                <w:szCs w:val="20"/>
                <w:lang w:val="ro-RO"/>
              </w:rPr>
              <w:t xml:space="preserve"> Conducerea mijlocului de transport cu depășirea limitelor de alcool admisibile sau în stare de ebrietate produsă de alte substanțe</w:t>
            </w:r>
          </w:p>
        </w:tc>
        <w:tc>
          <w:tcPr>
            <w:tcW w:w="947" w:type="dxa"/>
            <w:vAlign w:val="center"/>
            <w:hideMark/>
          </w:tcPr>
          <w:p w14:paraId="07B0F32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2A6C4089"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2</w:t>
            </w:r>
          </w:p>
        </w:tc>
        <w:tc>
          <w:tcPr>
            <w:tcW w:w="947" w:type="dxa"/>
            <w:vAlign w:val="center"/>
            <w:hideMark/>
          </w:tcPr>
          <w:p w14:paraId="15F491CD"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10F50C6E" w14:textId="77777777" w:rsidTr="000C6E07">
        <w:trPr>
          <w:trHeight w:val="300"/>
          <w:jc w:val="center"/>
        </w:trPr>
        <w:tc>
          <w:tcPr>
            <w:tcW w:w="5524" w:type="dxa"/>
            <w:vAlign w:val="center"/>
            <w:hideMark/>
          </w:tcPr>
          <w:p w14:paraId="6992556D"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 371 Dezertarea</w:t>
            </w:r>
          </w:p>
        </w:tc>
        <w:tc>
          <w:tcPr>
            <w:tcW w:w="947" w:type="dxa"/>
            <w:vAlign w:val="center"/>
            <w:hideMark/>
          </w:tcPr>
          <w:p w14:paraId="2500803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1F42FD2B"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67F72FE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4538848F" w14:textId="77777777" w:rsidTr="000C6E07">
        <w:trPr>
          <w:trHeight w:val="112"/>
          <w:jc w:val="center"/>
        </w:trPr>
        <w:tc>
          <w:tcPr>
            <w:tcW w:w="5524" w:type="dxa"/>
            <w:vAlign w:val="center"/>
            <w:hideMark/>
          </w:tcPr>
          <w:p w14:paraId="23EAA032"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 xml:space="preserve">art. 217 </w:t>
            </w:r>
            <w:proofErr w:type="spellStart"/>
            <w:r w:rsidRPr="000C6E07">
              <w:rPr>
                <w:rFonts w:cs="Times New Roman"/>
                <w:color w:val="000000"/>
                <w:sz w:val="20"/>
                <w:szCs w:val="20"/>
                <w:lang w:val="ro-RO"/>
              </w:rPr>
              <w:t>Circulaţia</w:t>
            </w:r>
            <w:proofErr w:type="spellEnd"/>
            <w:r w:rsidRPr="000C6E07">
              <w:rPr>
                <w:rFonts w:cs="Times New Roman"/>
                <w:color w:val="000000"/>
                <w:sz w:val="20"/>
                <w:szCs w:val="20"/>
                <w:lang w:val="ro-RO"/>
              </w:rPr>
              <w:t xml:space="preserve"> ilegală a drogurilor, etnobotanicelor sau analogii acestora fără scop de înstrăinare</w:t>
            </w:r>
          </w:p>
        </w:tc>
        <w:tc>
          <w:tcPr>
            <w:tcW w:w="947" w:type="dxa"/>
            <w:vAlign w:val="center"/>
            <w:hideMark/>
          </w:tcPr>
          <w:p w14:paraId="3CAE4B87"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05943D1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22F8FE17"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305B5305" w14:textId="77777777" w:rsidTr="000C6E07">
        <w:trPr>
          <w:trHeight w:val="330"/>
          <w:jc w:val="center"/>
        </w:trPr>
        <w:tc>
          <w:tcPr>
            <w:tcW w:w="5524" w:type="dxa"/>
            <w:vAlign w:val="center"/>
            <w:hideMark/>
          </w:tcPr>
          <w:p w14:paraId="24423160"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art.192</w:t>
            </w:r>
            <w:r w:rsidRPr="000C6E07">
              <w:rPr>
                <w:rFonts w:cs="Times New Roman"/>
                <w:color w:val="000000"/>
                <w:sz w:val="20"/>
                <w:szCs w:val="20"/>
                <w:vertAlign w:val="superscript"/>
                <w:lang w:val="ro-RO"/>
              </w:rPr>
              <w:t>1</w:t>
            </w:r>
            <w:r w:rsidRPr="000C6E07">
              <w:rPr>
                <w:rFonts w:cs="Times New Roman"/>
                <w:color w:val="000000"/>
                <w:sz w:val="20"/>
                <w:szCs w:val="20"/>
                <w:lang w:val="ro-RO"/>
              </w:rPr>
              <w:t>Răpirea mijlocului de transport</w:t>
            </w:r>
          </w:p>
        </w:tc>
        <w:tc>
          <w:tcPr>
            <w:tcW w:w="947" w:type="dxa"/>
            <w:vAlign w:val="center"/>
            <w:hideMark/>
          </w:tcPr>
          <w:p w14:paraId="617421A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3F3CAA5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15607453"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25E6EE73" w14:textId="77777777" w:rsidTr="000C6E07">
        <w:trPr>
          <w:trHeight w:val="300"/>
          <w:jc w:val="center"/>
        </w:trPr>
        <w:tc>
          <w:tcPr>
            <w:tcW w:w="5524" w:type="dxa"/>
            <w:vAlign w:val="center"/>
            <w:hideMark/>
          </w:tcPr>
          <w:p w14:paraId="3A8CA981"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art.287 Huliganismul</w:t>
            </w:r>
          </w:p>
        </w:tc>
        <w:tc>
          <w:tcPr>
            <w:tcW w:w="947" w:type="dxa"/>
            <w:vAlign w:val="center"/>
            <w:hideMark/>
          </w:tcPr>
          <w:p w14:paraId="22EE0891"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20CB703B"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379D3AD6"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69771C77" w14:textId="77777777" w:rsidTr="000C6E07">
        <w:trPr>
          <w:trHeight w:val="300"/>
          <w:jc w:val="center"/>
        </w:trPr>
        <w:tc>
          <w:tcPr>
            <w:tcW w:w="5524" w:type="dxa"/>
            <w:vAlign w:val="center"/>
            <w:hideMark/>
          </w:tcPr>
          <w:p w14:paraId="275668ED"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art.190 Escrocheria</w:t>
            </w:r>
          </w:p>
        </w:tc>
        <w:tc>
          <w:tcPr>
            <w:tcW w:w="947" w:type="dxa"/>
            <w:vAlign w:val="center"/>
            <w:hideMark/>
          </w:tcPr>
          <w:p w14:paraId="6D644E8D"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3C2657CE"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260358EC"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10D1B638" w14:textId="77777777" w:rsidTr="000C6E07">
        <w:trPr>
          <w:trHeight w:val="330"/>
          <w:jc w:val="center"/>
        </w:trPr>
        <w:tc>
          <w:tcPr>
            <w:tcW w:w="5524" w:type="dxa"/>
            <w:vAlign w:val="center"/>
            <w:hideMark/>
          </w:tcPr>
          <w:p w14:paraId="198BED0E" w14:textId="77777777" w:rsidR="000C6E07" w:rsidRPr="000C6E07" w:rsidRDefault="000C6E07" w:rsidP="000C6E07">
            <w:pPr>
              <w:spacing w:after="0"/>
              <w:rPr>
                <w:rFonts w:cs="Times New Roman"/>
                <w:color w:val="000000"/>
                <w:sz w:val="20"/>
                <w:szCs w:val="20"/>
                <w:lang w:val="ro-RO"/>
              </w:rPr>
            </w:pPr>
            <w:r w:rsidRPr="000C6E07">
              <w:rPr>
                <w:rFonts w:cs="Times New Roman"/>
                <w:color w:val="000000"/>
                <w:sz w:val="20"/>
                <w:szCs w:val="20"/>
                <w:lang w:val="ro-RO"/>
              </w:rPr>
              <w:t>art.208</w:t>
            </w:r>
            <w:r w:rsidRPr="000C6E07">
              <w:rPr>
                <w:rFonts w:cs="Times New Roman"/>
                <w:color w:val="000000"/>
                <w:sz w:val="20"/>
                <w:szCs w:val="20"/>
                <w:vertAlign w:val="superscript"/>
                <w:lang w:val="ro-RO"/>
              </w:rPr>
              <w:t xml:space="preserve">1  </w:t>
            </w:r>
            <w:r w:rsidRPr="000C6E07">
              <w:rPr>
                <w:rFonts w:cs="Times New Roman"/>
                <w:color w:val="000000"/>
                <w:sz w:val="20"/>
                <w:szCs w:val="20"/>
                <w:lang w:val="ro-RO"/>
              </w:rPr>
              <w:t>Pornografia infantilă</w:t>
            </w:r>
          </w:p>
        </w:tc>
        <w:tc>
          <w:tcPr>
            <w:tcW w:w="947" w:type="dxa"/>
            <w:vAlign w:val="center"/>
            <w:hideMark/>
          </w:tcPr>
          <w:p w14:paraId="53D11DC4"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c>
          <w:tcPr>
            <w:tcW w:w="947" w:type="dxa"/>
            <w:vAlign w:val="center"/>
            <w:hideMark/>
          </w:tcPr>
          <w:p w14:paraId="186FC39E"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1</w:t>
            </w:r>
          </w:p>
        </w:tc>
        <w:tc>
          <w:tcPr>
            <w:tcW w:w="947" w:type="dxa"/>
            <w:vAlign w:val="center"/>
            <w:hideMark/>
          </w:tcPr>
          <w:p w14:paraId="12B04EF5" w14:textId="77777777" w:rsidR="000C6E07" w:rsidRPr="000C6E07" w:rsidRDefault="000C6E07" w:rsidP="000C6E07">
            <w:pPr>
              <w:spacing w:after="0"/>
              <w:jc w:val="center"/>
              <w:rPr>
                <w:rFonts w:cs="Times New Roman"/>
                <w:color w:val="000000"/>
                <w:sz w:val="20"/>
                <w:szCs w:val="20"/>
                <w:lang w:val="ro-RO"/>
              </w:rPr>
            </w:pPr>
            <w:r w:rsidRPr="000C6E07">
              <w:rPr>
                <w:rFonts w:cs="Times New Roman"/>
                <w:color w:val="000000"/>
                <w:sz w:val="20"/>
                <w:szCs w:val="20"/>
                <w:lang w:val="ro-RO"/>
              </w:rPr>
              <w:t>-</w:t>
            </w:r>
          </w:p>
        </w:tc>
      </w:tr>
      <w:tr w:rsidR="000C6E07" w:rsidRPr="000C6E07" w14:paraId="627EEF18" w14:textId="77777777" w:rsidTr="000C6E07">
        <w:trPr>
          <w:trHeight w:val="33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8483212" w14:textId="77777777" w:rsidR="000C6E07" w:rsidRPr="000C6E07" w:rsidRDefault="000C6E07" w:rsidP="000C6E07">
            <w:pPr>
              <w:spacing w:after="0"/>
              <w:rPr>
                <w:rFonts w:cs="Times New Roman"/>
                <w:b/>
                <w:color w:val="000000"/>
                <w:sz w:val="20"/>
                <w:szCs w:val="20"/>
                <w:lang w:val="ro-RO"/>
              </w:rPr>
            </w:pPr>
            <w:r w:rsidRPr="000C6E07">
              <w:rPr>
                <w:rFonts w:cs="Times New Roman"/>
                <w:b/>
                <w:color w:val="000000"/>
                <w:sz w:val="20"/>
                <w:szCs w:val="20"/>
                <w:lang w:val="ro-RO"/>
              </w:rPr>
              <w:t>Total</w:t>
            </w:r>
          </w:p>
        </w:tc>
        <w:tc>
          <w:tcPr>
            <w:tcW w:w="947" w:type="dxa"/>
            <w:tcBorders>
              <w:top w:val="single" w:sz="4" w:space="0" w:color="auto"/>
              <w:left w:val="single" w:sz="4" w:space="0" w:color="auto"/>
              <w:bottom w:val="single" w:sz="4" w:space="0" w:color="auto"/>
              <w:right w:val="single" w:sz="4" w:space="0" w:color="auto"/>
            </w:tcBorders>
            <w:vAlign w:val="center"/>
            <w:hideMark/>
          </w:tcPr>
          <w:p w14:paraId="2E302A3A" w14:textId="77777777" w:rsidR="000C6E07" w:rsidRPr="000C6E07" w:rsidRDefault="000C6E07" w:rsidP="000C6E07">
            <w:pPr>
              <w:spacing w:after="0"/>
              <w:jc w:val="center"/>
              <w:rPr>
                <w:rFonts w:cs="Times New Roman"/>
                <w:b/>
                <w:color w:val="000000"/>
                <w:sz w:val="20"/>
                <w:szCs w:val="20"/>
                <w:lang w:val="ro-RO"/>
              </w:rPr>
            </w:pPr>
            <w:r w:rsidRPr="000C6E07">
              <w:rPr>
                <w:rFonts w:cs="Times New Roman"/>
                <w:b/>
                <w:color w:val="000000"/>
                <w:sz w:val="20"/>
                <w:szCs w:val="20"/>
                <w:lang w:val="ro-RO"/>
              </w:rPr>
              <w:t>3</w:t>
            </w:r>
          </w:p>
        </w:tc>
        <w:tc>
          <w:tcPr>
            <w:tcW w:w="947" w:type="dxa"/>
            <w:tcBorders>
              <w:top w:val="single" w:sz="4" w:space="0" w:color="auto"/>
              <w:left w:val="single" w:sz="4" w:space="0" w:color="auto"/>
              <w:bottom w:val="single" w:sz="4" w:space="0" w:color="auto"/>
              <w:right w:val="single" w:sz="4" w:space="0" w:color="auto"/>
            </w:tcBorders>
            <w:vAlign w:val="center"/>
            <w:hideMark/>
          </w:tcPr>
          <w:p w14:paraId="08D0AE91" w14:textId="77777777" w:rsidR="000C6E07" w:rsidRPr="000C6E07" w:rsidRDefault="000C6E07" w:rsidP="000C6E07">
            <w:pPr>
              <w:spacing w:after="0"/>
              <w:jc w:val="center"/>
              <w:rPr>
                <w:rFonts w:cs="Times New Roman"/>
                <w:b/>
                <w:color w:val="000000"/>
                <w:sz w:val="20"/>
                <w:szCs w:val="20"/>
                <w:lang w:val="ro-RO"/>
              </w:rPr>
            </w:pPr>
            <w:r w:rsidRPr="000C6E07">
              <w:rPr>
                <w:rFonts w:cs="Times New Roman"/>
                <w:b/>
                <w:color w:val="000000"/>
                <w:sz w:val="20"/>
                <w:szCs w:val="20"/>
                <w:lang w:val="ro-RO"/>
              </w:rPr>
              <w:t>7</w:t>
            </w:r>
          </w:p>
        </w:tc>
        <w:tc>
          <w:tcPr>
            <w:tcW w:w="947" w:type="dxa"/>
            <w:tcBorders>
              <w:top w:val="single" w:sz="4" w:space="0" w:color="auto"/>
              <w:left w:val="single" w:sz="4" w:space="0" w:color="auto"/>
              <w:bottom w:val="single" w:sz="4" w:space="0" w:color="auto"/>
              <w:right w:val="single" w:sz="4" w:space="0" w:color="auto"/>
            </w:tcBorders>
            <w:vAlign w:val="center"/>
            <w:hideMark/>
          </w:tcPr>
          <w:p w14:paraId="48C5ACB1" w14:textId="77777777" w:rsidR="000C6E07" w:rsidRPr="000C6E07" w:rsidRDefault="000C6E07" w:rsidP="000C6E07">
            <w:pPr>
              <w:spacing w:after="0"/>
              <w:jc w:val="center"/>
              <w:rPr>
                <w:rFonts w:cs="Times New Roman"/>
                <w:b/>
                <w:color w:val="000000"/>
                <w:sz w:val="20"/>
                <w:szCs w:val="20"/>
                <w:lang w:val="ro-RO"/>
              </w:rPr>
            </w:pPr>
            <w:r w:rsidRPr="000C6E07">
              <w:rPr>
                <w:rFonts w:cs="Times New Roman"/>
                <w:b/>
                <w:color w:val="000000"/>
                <w:sz w:val="20"/>
                <w:szCs w:val="20"/>
                <w:lang w:val="ro-RO"/>
              </w:rPr>
              <w:t>-</w:t>
            </w:r>
          </w:p>
        </w:tc>
      </w:tr>
    </w:tbl>
    <w:p w14:paraId="3AA76208" w14:textId="77777777" w:rsidR="000C6E07" w:rsidRPr="000C6E07" w:rsidRDefault="000C6E07" w:rsidP="000C6E07">
      <w:pPr>
        <w:pStyle w:val="42"/>
        <w:spacing w:before="0" w:beforeAutospacing="0" w:after="120" w:line="240" w:lineRule="auto"/>
        <w:ind w:firstLine="539"/>
        <w:jc w:val="center"/>
        <w:rPr>
          <w:rFonts w:ascii="Times New Roman" w:hAnsi="Times New Roman" w:cs="Times New Roman"/>
          <w:i/>
          <w:sz w:val="24"/>
          <w:szCs w:val="24"/>
          <w:lang w:val="ro-RO"/>
        </w:rPr>
      </w:pPr>
      <w:r w:rsidRPr="000C6E07">
        <w:rPr>
          <w:rFonts w:ascii="Times New Roman" w:hAnsi="Times New Roman" w:cs="Times New Roman"/>
          <w:b/>
          <w:sz w:val="24"/>
          <w:szCs w:val="24"/>
          <w:lang w:val="ro-RO"/>
        </w:rPr>
        <w:t>Sursa:</w:t>
      </w:r>
      <w:r w:rsidRPr="000C6E07">
        <w:rPr>
          <w:rFonts w:ascii="Times New Roman" w:hAnsi="Times New Roman" w:cs="Times New Roman"/>
          <w:i/>
          <w:sz w:val="24"/>
          <w:szCs w:val="24"/>
          <w:lang w:val="ro-RO"/>
        </w:rPr>
        <w:t xml:space="preserve"> Inspectoratul General de Carabinieri</w:t>
      </w:r>
    </w:p>
    <w:p w14:paraId="42689F7A" w14:textId="77777777" w:rsidR="000C6E07" w:rsidRPr="000C6E07" w:rsidRDefault="000C6E07" w:rsidP="000C6E07">
      <w:pPr>
        <w:spacing w:after="0"/>
        <w:ind w:firstLine="540"/>
        <w:jc w:val="both"/>
        <w:rPr>
          <w:sz w:val="24"/>
          <w:lang w:val="ro-RO"/>
        </w:rPr>
      </w:pPr>
      <w:r w:rsidRPr="000C6E07">
        <w:rPr>
          <w:sz w:val="24"/>
          <w:lang w:val="ro-RO"/>
        </w:rPr>
        <w:t xml:space="preserve">În ultimii ani, peste 2500 polițiști au fost instruiți pe subiectul ”Discriminare și infracțiuni motivate de prejudecată” și au fost formați 24 de formatori în domeniul combaterii infracțiunilor motivate de prejudecată, egalitate și nondiscriminare, inclusiv referitoare la persoanele de etnie romă și LGBTQ+. Suplimentar a fost elaborată broșura ”Rolul poliției în prevenirea și combaterea discriminării”, care constituie un suport metodologic și o sursă de informare pentru polițiști; </w:t>
      </w:r>
    </w:p>
    <w:p w14:paraId="42BAEB9A" w14:textId="77777777" w:rsidR="000C6E07" w:rsidRPr="000C6E07" w:rsidRDefault="000C6E07" w:rsidP="000C6E07">
      <w:pPr>
        <w:pStyle w:val="71"/>
        <w:ind w:firstLine="540"/>
        <w:rPr>
          <w:sz w:val="24"/>
          <w:szCs w:val="24"/>
          <w:lang w:val="ro-RO"/>
        </w:rPr>
      </w:pPr>
      <w:r w:rsidRPr="000C6E07">
        <w:rPr>
          <w:b/>
          <w:sz w:val="24"/>
          <w:szCs w:val="24"/>
          <w:lang w:val="ro-RO"/>
        </w:rPr>
        <w:t xml:space="preserve">Încrederea în Poliție: mai scăzută în rândul grupurilor vulnerabile și al persoanelor în vârstă. </w:t>
      </w:r>
      <w:r w:rsidRPr="000C6E07">
        <w:rPr>
          <w:sz w:val="24"/>
          <w:szCs w:val="24"/>
          <w:lang w:val="ro-RO"/>
        </w:rPr>
        <w:t>Studiul CPD „Moldova inegală”</w:t>
      </w:r>
      <w:r w:rsidRPr="000C6E07">
        <w:rPr>
          <w:rStyle w:val="aff3"/>
          <w:sz w:val="24"/>
          <w:szCs w:val="24"/>
          <w:lang w:val="ro-RO"/>
        </w:rPr>
        <w:footnoteReference w:id="27"/>
      </w:r>
      <w:r w:rsidRPr="000C6E07">
        <w:rPr>
          <w:sz w:val="24"/>
          <w:szCs w:val="24"/>
          <w:lang w:val="ro-RO"/>
        </w:rPr>
        <w:t xml:space="preserve"> relevă un nivel scăzut de încredere în poliție în rândul grupurilor vulnerabile. Cea mai îngrijorătoare este proporția celor care nu au deloc încredere în poliție: 36,5% dintre persoanele cu dizabilități și 30,6% dintre cele de etnie romă, față de cu 27,2% în populația generală. Încrederea variază și în funcție de vârstă, scăzând o dată cu înaintarea în vârstă, de la 67,8% (18-29 de ani) la doar 40,6% (60+ ani) care declară că au foarte multă sau oarecare încredere. La originea acestor atitudini stau </w:t>
      </w:r>
      <w:r w:rsidRPr="000C6E07">
        <w:rPr>
          <w:rFonts w:eastAsia="Times New Roman"/>
          <w:kern w:val="0"/>
          <w:sz w:val="24"/>
          <w:szCs w:val="24"/>
          <w:lang w:val="ro-RO"/>
        </w:rPr>
        <w:t>prejudecățile amplificate de lipsa de cunoștințe a angajaților despre grupurile vulnerabile și de toleranța instituțională față de astfel de atitudini. În plus, serviciile de ordine publică dispun de resurse și competențe limitate pentru a proteja eficient aceste grupuri de agresiuni sau discriminare din partea altor persoane.</w:t>
      </w:r>
    </w:p>
    <w:p w14:paraId="17ED5C72" w14:textId="5E3461B4" w:rsidR="000C6E07" w:rsidRPr="000C6E07" w:rsidRDefault="000C6E07" w:rsidP="000C6E07">
      <w:pPr>
        <w:pStyle w:val="71"/>
        <w:ind w:firstLine="540"/>
        <w:rPr>
          <w:i/>
          <w:color w:val="0070C0"/>
          <w:sz w:val="24"/>
          <w:szCs w:val="24"/>
          <w:lang w:val="ro-RO"/>
        </w:rPr>
      </w:pPr>
      <w:r w:rsidRPr="000C6E07">
        <w:rPr>
          <w:rFonts w:eastAsia="Times New Roman"/>
          <w:kern w:val="0"/>
          <w:sz w:val="24"/>
          <w:szCs w:val="24"/>
          <w:lang w:val="ro-RO"/>
        </w:rPr>
        <w:t>Ultimul raport ECRI</w:t>
      </w:r>
      <w:r w:rsidRPr="000C6E07">
        <w:rPr>
          <w:rStyle w:val="aff3"/>
          <w:rFonts w:eastAsia="Times New Roman"/>
          <w:kern w:val="0"/>
          <w:sz w:val="24"/>
          <w:szCs w:val="24"/>
          <w:lang w:val="ro-RO"/>
        </w:rPr>
        <w:footnoteReference w:id="28"/>
      </w:r>
      <w:r w:rsidRPr="000C6E07">
        <w:rPr>
          <w:rFonts w:eastAsia="Times New Roman"/>
          <w:kern w:val="0"/>
          <w:sz w:val="24"/>
          <w:szCs w:val="24"/>
          <w:lang w:val="ro-RO"/>
        </w:rPr>
        <w:t xml:space="preserve"> menționează că î</w:t>
      </w:r>
      <w:r w:rsidRPr="000C6E07">
        <w:rPr>
          <w:sz w:val="24"/>
          <w:szCs w:val="24"/>
          <w:lang w:val="ro-RO"/>
        </w:rPr>
        <w:t xml:space="preserve">n pofida recomandărilor anterioare ale ECRI, au continuat să fie raportate practici care constituie </w:t>
      </w:r>
      <w:r w:rsidRPr="000C6E07">
        <w:rPr>
          <w:b/>
          <w:sz w:val="24"/>
          <w:szCs w:val="24"/>
          <w:lang w:val="ro-RO"/>
        </w:rPr>
        <w:t xml:space="preserve">profilare rasială în timpul operațiunilor </w:t>
      </w:r>
      <w:r w:rsidR="007F4FE2">
        <w:rPr>
          <w:b/>
          <w:sz w:val="24"/>
          <w:szCs w:val="24"/>
          <w:lang w:val="ro-RO"/>
        </w:rPr>
        <w:t>P</w:t>
      </w:r>
      <w:r w:rsidRPr="000C6E07">
        <w:rPr>
          <w:b/>
          <w:sz w:val="24"/>
          <w:szCs w:val="24"/>
          <w:lang w:val="ro-RO"/>
        </w:rPr>
        <w:t xml:space="preserve">oliției, vizând în principal romii </w:t>
      </w:r>
      <w:r w:rsidRPr="000C6E07">
        <w:rPr>
          <w:sz w:val="24"/>
          <w:szCs w:val="24"/>
          <w:lang w:val="ro-RO"/>
        </w:rPr>
        <w:t xml:space="preserve">(constatate de Consiliul pentru Egalitate). ECRI a recomandat autorităților să dezvolte cadrul juridic </w:t>
      </w:r>
      <w:r w:rsidRPr="000C6E07">
        <w:rPr>
          <w:sz w:val="24"/>
          <w:szCs w:val="24"/>
          <w:lang w:val="ro-RO"/>
        </w:rPr>
        <w:lastRenderedPageBreak/>
        <w:t>prin definirea și interzicerea profilării rasiale, în conformitate cu Recomandarea sa de politică generală nr. 11 privind combaterea rasismului și a discriminării rasiale în poliție.</w:t>
      </w:r>
    </w:p>
    <w:p w14:paraId="080051AA" w14:textId="77777777" w:rsidR="000C6E07" w:rsidRPr="000C6E07" w:rsidRDefault="000C6E07" w:rsidP="000C6E07">
      <w:pPr>
        <w:pStyle w:val="42"/>
        <w:spacing w:before="0" w:beforeAutospacing="0" w:after="0" w:line="240" w:lineRule="auto"/>
        <w:ind w:firstLine="540"/>
        <w:jc w:val="both"/>
        <w:rPr>
          <w:rStyle w:val="A40"/>
          <w:rFonts w:ascii="Times New Roman" w:hAnsi="Times New Roman" w:cs="Times New Roman"/>
          <w:sz w:val="24"/>
          <w:szCs w:val="24"/>
          <w:lang w:val="ro-RO"/>
        </w:rPr>
      </w:pPr>
      <w:r w:rsidRPr="000C6E07">
        <w:rPr>
          <w:rFonts w:ascii="Times New Roman" w:hAnsi="Times New Roman" w:cs="Times New Roman"/>
          <w:sz w:val="24"/>
          <w:szCs w:val="24"/>
          <w:lang w:val="ro-RO"/>
        </w:rPr>
        <w:t xml:space="preserve">Încălcarea drepturilor și libertăților persoanelor reținute nu are doar </w:t>
      </w:r>
      <w:r w:rsidRPr="000C6E07">
        <w:rPr>
          <w:rFonts w:ascii="Times New Roman" w:hAnsi="Times New Roman" w:cs="Times New Roman"/>
          <w:b/>
          <w:sz w:val="24"/>
          <w:szCs w:val="24"/>
          <w:lang w:val="ro-RO"/>
        </w:rPr>
        <w:t>cauze legate de comportamentul individual al angajaților</w:t>
      </w:r>
      <w:r w:rsidRPr="000C6E07">
        <w:rPr>
          <w:rFonts w:ascii="Times New Roman" w:hAnsi="Times New Roman" w:cs="Times New Roman"/>
          <w:sz w:val="24"/>
          <w:szCs w:val="24"/>
          <w:lang w:val="ro-RO"/>
        </w:rPr>
        <w:t xml:space="preserve">, ci și de </w:t>
      </w:r>
      <w:r w:rsidRPr="000C6E07">
        <w:rPr>
          <w:rFonts w:ascii="Times New Roman" w:hAnsi="Times New Roman" w:cs="Times New Roman"/>
          <w:b/>
          <w:sz w:val="24"/>
          <w:szCs w:val="24"/>
          <w:lang w:val="ro-RO"/>
        </w:rPr>
        <w:t>deficiențe sistemice și structurale</w:t>
      </w:r>
      <w:r w:rsidRPr="000C6E07">
        <w:rPr>
          <w:rFonts w:ascii="Times New Roman" w:hAnsi="Times New Roman" w:cs="Times New Roman"/>
          <w:sz w:val="24"/>
          <w:szCs w:val="24"/>
          <w:lang w:val="ro-RO"/>
        </w:rPr>
        <w:t>. În prezent, doar 15 izolatoare de detenție provizorie sunt amenajate conform standardelor, în timp ce majoritatea celorlalte nu dispun de spații adecvate pentru audiere, întrevederi confidențiale, recunoaștere, detenție temporară și așteptare sau pentru informarea reținuților despre drepturi – în special a celor cu dizabilități. La aceste lipsuri se adaugă probleme sistemice semnalate constant de Consiliul pentru Prevenirea Torturii</w:t>
      </w:r>
      <w:r w:rsidRPr="000C6E07">
        <w:rPr>
          <w:rStyle w:val="aff3"/>
          <w:rFonts w:ascii="Times New Roman" w:hAnsi="Times New Roman"/>
          <w:color w:val="0070C0"/>
          <w:sz w:val="24"/>
          <w:szCs w:val="24"/>
          <w:lang w:val="ro-RO"/>
        </w:rPr>
        <w:footnoteReference w:id="29"/>
      </w:r>
      <w:r w:rsidRPr="000C6E07">
        <w:rPr>
          <w:rFonts w:ascii="Times New Roman" w:hAnsi="Times New Roman" w:cs="Times New Roman"/>
          <w:sz w:val="24"/>
          <w:szCs w:val="24"/>
          <w:lang w:val="ro-RO"/>
        </w:rPr>
        <w:t xml:space="preserve"> </w:t>
      </w:r>
      <w:r w:rsidRPr="000C6E07">
        <w:rPr>
          <w:rStyle w:val="aff3"/>
          <w:rFonts w:ascii="Times New Roman" w:hAnsi="Times New Roman"/>
          <w:bCs/>
          <w:sz w:val="24"/>
          <w:szCs w:val="24"/>
          <w:lang w:val="ro-RO" w:eastAsia="ro-RO"/>
        </w:rPr>
        <w:footnoteReference w:id="30"/>
      </w:r>
      <w:r w:rsidRPr="000C6E07">
        <w:rPr>
          <w:rFonts w:ascii="Times New Roman" w:hAnsi="Times New Roman" w:cs="Times New Roman"/>
          <w:sz w:val="24"/>
          <w:szCs w:val="24"/>
          <w:lang w:val="ro-RO"/>
        </w:rPr>
        <w:t xml:space="preserve">: </w:t>
      </w:r>
      <w:r w:rsidRPr="000C6E07">
        <w:rPr>
          <w:rFonts w:ascii="Times New Roman" w:hAnsi="Times New Roman" w:cs="Times New Roman"/>
          <w:bCs/>
          <w:sz w:val="24"/>
          <w:szCs w:val="24"/>
          <w:lang w:val="ro-RO" w:eastAsia="ro-RO"/>
        </w:rPr>
        <w:t>insuficiența de personal și fluxul angajaților</w:t>
      </w:r>
      <w:r w:rsidRPr="000C6E07">
        <w:rPr>
          <w:rFonts w:ascii="Times New Roman" w:hAnsi="Times New Roman" w:cs="Times New Roman"/>
          <w:sz w:val="24"/>
          <w:szCs w:val="24"/>
          <w:lang w:val="ro-RO"/>
        </w:rPr>
        <w:t xml:space="preserve">, lipsa personalului medical 24/24, dificultăți în asigurarea asistenței medicale și în acomodarea persoanelor cu dizabilități, nerespectarea termenelor legale de detenție, omiterea examinării medicale și documentării leziunilor corporale, lipsa confidențialității datelor medicale, lipsa mecanismelor confidențiale de raportare a leziunilor corporale sau de plângere, completarea neuniformă a registrelor, precum și condițiile materiale insalubre și neigienice din unele izolatoare. Au mai fost semnalate </w:t>
      </w:r>
      <w:r w:rsidRPr="000C6E07">
        <w:rPr>
          <w:rStyle w:val="A40"/>
          <w:rFonts w:ascii="Times New Roman" w:hAnsi="Times New Roman" w:cs="Times New Roman"/>
          <w:sz w:val="24"/>
          <w:szCs w:val="24"/>
          <w:lang w:val="ro-RO"/>
        </w:rPr>
        <w:t>deficiențe organizaționale în asigurarea respectării procedurii de identificare, înregistrare și raportare a pretinselor cazuri de tortură, tratament inuman sau degradant.</w:t>
      </w:r>
    </w:p>
    <w:p w14:paraId="0F49AED8" w14:textId="77777777" w:rsidR="000C6E07" w:rsidRPr="000C6E07" w:rsidRDefault="000C6E07" w:rsidP="000C6E07">
      <w:pPr>
        <w:pStyle w:val="42"/>
        <w:spacing w:before="0" w:beforeAutospacing="0" w:after="0" w:line="240" w:lineRule="auto"/>
        <w:ind w:firstLine="540"/>
        <w:jc w:val="both"/>
        <w:rPr>
          <w:rFonts w:ascii="Times New Roman" w:hAnsi="Times New Roman"/>
          <w:sz w:val="24"/>
          <w:szCs w:val="24"/>
          <w:lang w:val="ro-RO" w:eastAsia="ro-RO"/>
        </w:rPr>
      </w:pPr>
      <w:r w:rsidRPr="000C6E07">
        <w:rPr>
          <w:rFonts w:ascii="Times New Roman" w:hAnsi="Times New Roman"/>
          <w:sz w:val="24"/>
          <w:szCs w:val="24"/>
          <w:lang w:val="ro-RO" w:eastAsia="ro-RO"/>
        </w:rPr>
        <w:t>În 2017, după d</w:t>
      </w:r>
      <w:r w:rsidRPr="000C6E07">
        <w:rPr>
          <w:rFonts w:ascii="Times New Roman" w:hAnsi="Times New Roman"/>
          <w:sz w:val="24"/>
          <w:szCs w:val="24"/>
          <w:lang w:val="ro-RO"/>
        </w:rPr>
        <w:t xml:space="preserve">ecesul lui Andrei </w:t>
      </w:r>
      <w:proofErr w:type="spellStart"/>
      <w:r w:rsidRPr="000C6E07">
        <w:rPr>
          <w:rFonts w:ascii="Times New Roman" w:hAnsi="Times New Roman"/>
          <w:sz w:val="24"/>
          <w:szCs w:val="24"/>
          <w:lang w:val="ro-RO"/>
        </w:rPr>
        <w:t>Braguța</w:t>
      </w:r>
      <w:proofErr w:type="spellEnd"/>
      <w:r w:rsidRPr="000C6E07">
        <w:rPr>
          <w:rFonts w:ascii="Times New Roman" w:hAnsi="Times New Roman"/>
          <w:sz w:val="24"/>
          <w:szCs w:val="24"/>
          <w:lang w:val="ro-RO"/>
        </w:rPr>
        <w:t xml:space="preserve"> în custodia statului,</w:t>
      </w:r>
      <w:r w:rsidRPr="000C6E07">
        <w:rPr>
          <w:rFonts w:ascii="Times New Roman" w:hAnsi="Times New Roman"/>
          <w:sz w:val="24"/>
          <w:szCs w:val="24"/>
          <w:lang w:val="ro-RO" w:eastAsia="ro-RO"/>
        </w:rPr>
        <w:t xml:space="preserve"> a fost scoasă în evidență necesitatea revizuirii tuturor procedurilor și practicilor Ministerului Afacerilor Interne în aplicarea măsurilor privative și neprivative de libertate și alinierea acestora la standardele internaționale în domeniu,  în mod specific, </w:t>
      </w:r>
      <w:r w:rsidRPr="000C6E07">
        <w:rPr>
          <w:rFonts w:ascii="Times New Roman" w:hAnsi="Times New Roman" w:cs="Times New Roman"/>
          <w:sz w:val="24"/>
          <w:szCs w:val="24"/>
          <w:lang w:val="ro-RO" w:eastAsia="ro-RO"/>
        </w:rPr>
        <w:t>conform Regulilor minime standard ale Națiunilor Unite pentru măsurile neprivative de libertate;</w:t>
      </w:r>
      <w:r w:rsidRPr="000C6E07">
        <w:rPr>
          <w:rStyle w:val="aff3"/>
          <w:rFonts w:ascii="Times New Roman" w:hAnsi="Times New Roman"/>
          <w:sz w:val="24"/>
          <w:szCs w:val="24"/>
          <w:lang w:val="ro-RO" w:eastAsia="ro-RO"/>
        </w:rPr>
        <w:footnoteReference w:id="31"/>
      </w:r>
      <w:r w:rsidRPr="000C6E07">
        <w:rPr>
          <w:rFonts w:ascii="Times New Roman" w:hAnsi="Times New Roman" w:cs="Times New Roman"/>
          <w:sz w:val="24"/>
          <w:szCs w:val="24"/>
          <w:lang w:val="ro-RO" w:eastAsia="ro-RO"/>
        </w:rPr>
        <w:t xml:space="preserve"> Regulilor minime standard ale Națiunilor Unite pentru tratamentul deținuților;</w:t>
      </w:r>
      <w:r w:rsidRPr="000C6E07">
        <w:rPr>
          <w:rStyle w:val="aff3"/>
          <w:rFonts w:ascii="Times New Roman" w:hAnsi="Times New Roman"/>
          <w:sz w:val="24"/>
          <w:szCs w:val="24"/>
          <w:lang w:val="ro-RO" w:eastAsia="ro-RO"/>
        </w:rPr>
        <w:footnoteReference w:id="32"/>
      </w:r>
      <w:r w:rsidRPr="000C6E07">
        <w:rPr>
          <w:rFonts w:ascii="Times New Roman" w:hAnsi="Times New Roman" w:cs="Times New Roman"/>
          <w:sz w:val="24"/>
          <w:szCs w:val="24"/>
          <w:lang w:val="ro-RO" w:eastAsia="ro-RO"/>
        </w:rPr>
        <w:t xml:space="preserve"> și Regulilor Națiunilor Unite pentru tratamentul femeilor prizoniere și măsurile neprivative de libertate pentru femeile delincvente.</w:t>
      </w:r>
      <w:r w:rsidRPr="000C6E07">
        <w:rPr>
          <w:rStyle w:val="aff3"/>
          <w:rFonts w:ascii="Times New Roman" w:hAnsi="Times New Roman"/>
          <w:sz w:val="24"/>
          <w:szCs w:val="24"/>
          <w:lang w:val="ro-RO" w:eastAsia="ro-RO"/>
        </w:rPr>
        <w:footnoteReference w:id="33"/>
      </w:r>
      <w:r w:rsidRPr="000C6E07">
        <w:rPr>
          <w:rFonts w:ascii="Times New Roman" w:hAnsi="Times New Roman"/>
          <w:sz w:val="24"/>
          <w:szCs w:val="24"/>
          <w:lang w:val="ro-RO"/>
        </w:rPr>
        <w:t xml:space="preserve"> În 2024, Oficiul Avocatului Poporului constata</w:t>
      </w:r>
      <w:r w:rsidRPr="000C6E07">
        <w:rPr>
          <w:rStyle w:val="aff3"/>
          <w:rFonts w:ascii="Times New Roman" w:hAnsi="Times New Roman"/>
          <w:sz w:val="24"/>
          <w:szCs w:val="24"/>
          <w:lang w:val="ro-RO"/>
        </w:rPr>
        <w:footnoteReference w:id="34"/>
      </w:r>
      <w:r w:rsidRPr="000C6E07">
        <w:rPr>
          <w:rFonts w:ascii="Times New Roman" w:hAnsi="Times New Roman"/>
          <w:sz w:val="24"/>
          <w:szCs w:val="24"/>
          <w:lang w:val="ro-RO"/>
        </w:rPr>
        <w:t>, persistența majorității problemelor identificate încă din 2017</w:t>
      </w:r>
      <w:r w:rsidRPr="000C6E07">
        <w:rPr>
          <w:rStyle w:val="aff3"/>
          <w:rFonts w:ascii="Times New Roman" w:hAnsi="Times New Roman"/>
          <w:sz w:val="24"/>
          <w:szCs w:val="24"/>
          <w:lang w:val="ro-RO" w:eastAsia="ro-RO"/>
        </w:rPr>
        <w:footnoteReference w:id="35"/>
      </w:r>
      <w:r w:rsidRPr="000C6E07">
        <w:rPr>
          <w:rFonts w:ascii="Times New Roman" w:hAnsi="Times New Roman"/>
          <w:sz w:val="24"/>
          <w:szCs w:val="24"/>
          <w:lang w:val="ro-RO"/>
        </w:rPr>
        <w:t xml:space="preserve">, menționând restanțele mari ale MAI/IGP la capitolul prevenirea și combaterea abuzurilor. Printre problemele constatate se numără: insuficiența </w:t>
      </w:r>
      <w:r w:rsidRPr="000C6E07">
        <w:rPr>
          <w:rFonts w:ascii="Times New Roman" w:hAnsi="Times New Roman"/>
          <w:sz w:val="24"/>
          <w:szCs w:val="24"/>
          <w:lang w:val="ro-RO" w:eastAsia="ro-RO"/>
        </w:rPr>
        <w:t xml:space="preserve">instruirilor angajaților Poliției, lipsa metodologiilor / reglementărilor cu privire la intervenția Poliției în cazurile de reținere a persoanelor cu tulburări mintale, dizabilități, stare alcoolică, precum și lipsa mecanismelor clare cu privire la antrenarea medicilor psihiatri, a psihologilor sau a altor specialiști în procesul reținerii persoanelor cu risc sporit de vulnerabilitate. În plus, există necesitatea amenajării locurilor de detenție cu spații speciale pentru necesitățile persoanelor cu dizabilități psihice sau fizice, tulburări, violente sau cu risc de automutilare și sau suicid; identificarea unui cadru cu privire la asigurarea cu alimentație (hrană, apă) a persoanelor reținute/contraveniente; documentarea corectă și completă a tuturor faptelor și circumstanțelor în procesul reținerii persoanelor, în scopul prevenției oricăror forme de abuz și respectării garanțiilor la reținere de angajații Poliției; identificarea unui mecanism de conlucrare instituțională în cazul reținerii unor persoane cu dizabilități mintale, cu respectarea dreptului la datele cu caracter personal, a vieții private etc.  </w:t>
      </w:r>
    </w:p>
    <w:p w14:paraId="61E4B1EA" w14:textId="77777777" w:rsidR="000C6E07" w:rsidRDefault="000C6E07" w:rsidP="000C6E07">
      <w:pPr>
        <w:pStyle w:val="42"/>
        <w:spacing w:before="0" w:beforeAutospacing="0" w:after="0" w:line="240" w:lineRule="auto"/>
        <w:ind w:firstLine="540"/>
        <w:jc w:val="both"/>
        <w:rPr>
          <w:rFonts w:ascii="Times New Roman" w:hAnsi="Times New Roman"/>
          <w:sz w:val="24"/>
          <w:szCs w:val="24"/>
          <w:lang w:val="ro-RO" w:eastAsia="ro-RO"/>
        </w:rPr>
      </w:pPr>
      <w:r w:rsidRPr="000C6E07">
        <w:rPr>
          <w:rFonts w:ascii="Times New Roman" w:hAnsi="Times New Roman"/>
          <w:sz w:val="24"/>
          <w:szCs w:val="24"/>
          <w:lang w:val="ro-RO" w:eastAsia="ro-RO"/>
        </w:rPr>
        <w:t>Remedierea deficiențelor privind respectarea drepturilor și libertăților fundamentale în activitatea serviciilor de ordine publică este vitală pentru creșterea profesionalismului, credibilității și legitimității instituțiilor responsabile de aplicarea legii. Îmbunătățirea continuă a instruirii angajaților, eliminarea stereotipurilor și prejudecăților, respectarea garanțiilor procedurale în cazul reținerii și tratamentului persoanelor aflate în custodie, precum și alinierea condițiilor de detenție la standardele internaționale vor contribui nu doar la prevenirea abuzurilor, ci și la consolidarea încrederii publicului, în special a grupurilor vulnerabile, în instituțiile statului.</w:t>
      </w:r>
    </w:p>
    <w:p w14:paraId="0EC1A869" w14:textId="77777777" w:rsidR="00707A90" w:rsidRPr="000C6E07" w:rsidRDefault="00707A90" w:rsidP="000C6E07">
      <w:pPr>
        <w:pStyle w:val="42"/>
        <w:spacing w:before="0" w:beforeAutospacing="0" w:after="0" w:line="240" w:lineRule="auto"/>
        <w:ind w:firstLine="540"/>
        <w:jc w:val="both"/>
        <w:rPr>
          <w:rFonts w:ascii="Times New Roman" w:hAnsi="Times New Roman"/>
          <w:sz w:val="24"/>
          <w:szCs w:val="24"/>
          <w:lang w:val="ro-RO" w:eastAsia="ro-RO"/>
        </w:rPr>
      </w:pPr>
    </w:p>
    <w:p w14:paraId="5CC0B828" w14:textId="77777777" w:rsidR="000C6E07" w:rsidRPr="000C6E07" w:rsidRDefault="000C6E07" w:rsidP="000C6E07">
      <w:pPr>
        <w:spacing w:before="240"/>
        <w:jc w:val="center"/>
        <w:rPr>
          <w:b/>
          <w:sz w:val="24"/>
          <w:lang w:val="ro-RO"/>
        </w:rPr>
      </w:pPr>
      <w:r w:rsidRPr="000C6E07">
        <w:rPr>
          <w:b/>
          <w:sz w:val="24"/>
          <w:lang w:val="ro-RO"/>
        </w:rPr>
        <w:lastRenderedPageBreak/>
        <w:t>Secțiunea 5. Siguranța în mediul digital și amenințările emergente</w:t>
      </w:r>
    </w:p>
    <w:p w14:paraId="6865ADD2" w14:textId="77777777" w:rsidR="000C6E07" w:rsidRPr="000C6E07" w:rsidRDefault="000C6E07" w:rsidP="000C6E07">
      <w:pPr>
        <w:spacing w:after="0"/>
        <w:ind w:firstLine="540"/>
        <w:jc w:val="both"/>
        <w:rPr>
          <w:sz w:val="24"/>
          <w:lang w:val="ro-RO"/>
        </w:rPr>
      </w:pPr>
      <w:r w:rsidRPr="000C6E07">
        <w:rPr>
          <w:sz w:val="24"/>
          <w:lang w:val="ro-RO"/>
        </w:rPr>
        <w:t xml:space="preserve">Mediul digital joacă un rol central în viața cotidiană a cetățenilor Republicii Moldova. Creșterea exponențială a utilizării platformelor digitale pentru comunicare, comerț, activism civic, educație și exprimare publică a dus la o interdependență tot mai mare între spațiul online și cel fizic. Această realitate impune adaptarea mecanismelor de asigurare a ordinii și securității publice la noile riscuri și forme de manifestare a ilegalităților în spațiul digital. Spațiul digital poate fi un mediu pentru manifestarea amenințărilor care se regăsesc și în spațiul fizic, cum ar fi incitarea la ură, instigarea la violență, radicalizarea, mobilizarea pentru acțiuni ilegale sau hărțuirea, dar și un mediu în care apar manifestări și provocări noi pentru ordinea și securitatea publică, cum sunt dezinformarea, campaniile de manipulare coordonată, atacurile cibernetice, </w:t>
      </w:r>
      <w:proofErr w:type="spellStart"/>
      <w:r w:rsidRPr="000C6E07">
        <w:rPr>
          <w:sz w:val="24"/>
          <w:lang w:val="ro-RO"/>
        </w:rPr>
        <w:t>fake</w:t>
      </w:r>
      <w:proofErr w:type="spellEnd"/>
      <w:r w:rsidRPr="000C6E07">
        <w:rPr>
          <w:sz w:val="24"/>
          <w:lang w:val="ro-RO"/>
        </w:rPr>
        <w:t xml:space="preserve"> </w:t>
      </w:r>
      <w:proofErr w:type="spellStart"/>
      <w:r w:rsidRPr="000C6E07">
        <w:rPr>
          <w:sz w:val="24"/>
          <w:lang w:val="ro-RO"/>
        </w:rPr>
        <w:t>news</w:t>
      </w:r>
      <w:proofErr w:type="spellEnd"/>
      <w:r w:rsidRPr="000C6E07">
        <w:rPr>
          <w:sz w:val="24"/>
          <w:lang w:val="ro-RO"/>
        </w:rPr>
        <w:t>-urile care pot genera panică sau destabilizare socială, precum și utilizarea rețelelor online pentru organizarea de evenimente neautorizate sau activități infracționale.</w:t>
      </w:r>
    </w:p>
    <w:p w14:paraId="1FCA4295" w14:textId="77777777" w:rsidR="000C6E07" w:rsidRPr="000C6E07" w:rsidRDefault="000C6E07" w:rsidP="000C6E07">
      <w:pPr>
        <w:spacing w:after="0"/>
        <w:ind w:firstLine="540"/>
        <w:jc w:val="both"/>
        <w:rPr>
          <w:sz w:val="24"/>
          <w:lang w:val="ro-RO"/>
        </w:rPr>
      </w:pPr>
      <w:r w:rsidRPr="000C6E07">
        <w:rPr>
          <w:sz w:val="24"/>
          <w:lang w:val="ro-RO"/>
        </w:rPr>
        <w:t>La nivelul Uniunii Europene a fost adoptată Declarația europeană privind drepturile și principiile digitale pentru deceniul digital 2023/C 23/01, care enunță principiile fundamentale în materie de drepturi digitale — de la protecția vieții private și datele personale, la libertatea de exprimare online, incluziune, securitate cibernetică, participare democratică și utilizarea responsabilă a inteligenței artificiale. Printre riscurile actuale legate de siguranța online cu care se confruntă și Republica Moldova se numără amenințările la adresa protecției datelor cu caracter personal, respectării vieții private, libertății de exprimare și de întrunire în spațiul virtual, precum și proliferarea discursului de ură, a incitării la violență sau discriminare, pericolele ce vizează siguranța copiilor și utilizarea internetului pentru activități ilegale, cum ar fi traficul de droguri. O parte dintre aceste amenințări digitale se încadrează în sfera criminalității informatice și intră în atribuțiile INI, însă o altă parte afectează direct sau indirect ordinea și securitatea publică, fiind de competența instituțiilor responsabile cu menținerea ordinii și siguranței publice.</w:t>
      </w:r>
    </w:p>
    <w:p w14:paraId="2D691A2F" w14:textId="77777777" w:rsidR="000C6E07" w:rsidRPr="000C6E07" w:rsidRDefault="000C6E07" w:rsidP="000C6E07">
      <w:pPr>
        <w:spacing w:after="0"/>
        <w:ind w:firstLine="540"/>
        <w:jc w:val="both"/>
        <w:rPr>
          <w:sz w:val="24"/>
          <w:lang w:val="ro-RO"/>
        </w:rPr>
      </w:pPr>
      <w:r w:rsidRPr="000C6E07">
        <w:rPr>
          <w:b/>
          <w:sz w:val="24"/>
          <w:lang w:val="ro-RO"/>
        </w:rPr>
        <w:t>Discursul de ură și instigarea la violență în mediul digital</w:t>
      </w:r>
      <w:r w:rsidRPr="000C6E07">
        <w:rPr>
          <w:sz w:val="24"/>
          <w:lang w:val="ro-RO"/>
        </w:rPr>
        <w:t xml:space="preserve">, se manifestă tot mai frecvent în contexte politice, electorale sau sociale, cu impact direct asupra climatului de securitate publică. Instigarea la discriminare pe criterii etnice, de gen, religie sau orientare sexuală, contribuie la polarizarea socială și pot degenera în incidente de violență. </w:t>
      </w:r>
      <w:r w:rsidRPr="000C6E07">
        <w:rPr>
          <w:sz w:val="24"/>
          <w:szCs w:val="24"/>
          <w:lang w:val="ro-RO"/>
        </w:rPr>
        <w:t>Consiliul pentru Drepturile Omului al Națiunilor Unite a adoptat o rezoluție în 2024</w:t>
      </w:r>
      <w:r w:rsidRPr="000C6E07">
        <w:rPr>
          <w:rStyle w:val="aff3"/>
          <w:sz w:val="24"/>
          <w:szCs w:val="24"/>
          <w:lang w:val="ro-RO"/>
        </w:rPr>
        <w:footnoteReference w:id="36"/>
      </w:r>
      <w:r w:rsidRPr="000C6E07">
        <w:rPr>
          <w:sz w:val="24"/>
          <w:szCs w:val="24"/>
          <w:lang w:val="ro-RO"/>
        </w:rPr>
        <w:t xml:space="preserve"> prin care a reiterat necesitatea condamnării folosirii discursului de ură, atât offline, cât și online.</w:t>
      </w:r>
    </w:p>
    <w:p w14:paraId="341E3E90" w14:textId="77777777" w:rsidR="000C6E07" w:rsidRPr="000C6E07" w:rsidRDefault="000C6E07" w:rsidP="000C6E07">
      <w:pPr>
        <w:spacing w:after="0"/>
        <w:ind w:firstLine="540"/>
        <w:jc w:val="both"/>
        <w:rPr>
          <w:sz w:val="24"/>
          <w:lang w:val="ro-RO"/>
        </w:rPr>
      </w:pPr>
      <w:r w:rsidRPr="000C6E07">
        <w:rPr>
          <w:sz w:val="24"/>
          <w:lang w:val="ro-RO"/>
        </w:rPr>
        <w:t xml:space="preserve">Datele monitorizărilor realizate de Asociația </w:t>
      </w:r>
      <w:proofErr w:type="spellStart"/>
      <w:r w:rsidRPr="000C6E07">
        <w:rPr>
          <w:sz w:val="24"/>
          <w:lang w:val="ro-RO"/>
        </w:rPr>
        <w:t>Promo</w:t>
      </w:r>
      <w:proofErr w:type="spellEnd"/>
      <w:r w:rsidRPr="000C6E07">
        <w:rPr>
          <w:sz w:val="24"/>
          <w:lang w:val="ro-RO"/>
        </w:rPr>
        <w:t>-LEX</w:t>
      </w:r>
      <w:r w:rsidRPr="000C6E07">
        <w:rPr>
          <w:rStyle w:val="aff3"/>
          <w:sz w:val="24"/>
          <w:lang w:val="ro-RO"/>
        </w:rPr>
        <w:footnoteReference w:id="37"/>
      </w:r>
      <w:r w:rsidRPr="000C6E07">
        <w:rPr>
          <w:sz w:val="24"/>
          <w:lang w:val="ro-RO"/>
        </w:rPr>
        <w:t xml:space="preserve"> arată că fenomenul discursului de ură în Republica Moldova, are o prezență constantă în mediul online. În perioada 2018–2024, din numărul total de 2379 de cazuri de discurs de ură identificate în urma a opt cicluri de monitorizare, 37% au fost identificate în rețelele de socializare, iar 57% în mass-media online. </w:t>
      </w:r>
    </w:p>
    <w:p w14:paraId="0752EAB7" w14:textId="77777777" w:rsidR="000C6E07" w:rsidRPr="000C6E07" w:rsidRDefault="000C6E07" w:rsidP="000C6E07">
      <w:pPr>
        <w:pStyle w:val="71"/>
        <w:ind w:firstLine="540"/>
        <w:rPr>
          <w:sz w:val="24"/>
          <w:szCs w:val="24"/>
          <w:lang w:val="ro-RO"/>
        </w:rPr>
      </w:pPr>
      <w:r w:rsidRPr="000C6E07">
        <w:rPr>
          <w:rFonts w:eastAsia="Times New Roman"/>
          <w:kern w:val="0"/>
          <w:sz w:val="24"/>
          <w:szCs w:val="24"/>
          <w:lang w:val="ro-RO"/>
        </w:rPr>
        <w:t>Ultimul raport ECRI</w:t>
      </w:r>
      <w:r w:rsidRPr="000C6E07">
        <w:rPr>
          <w:rStyle w:val="aff3"/>
          <w:rFonts w:eastAsia="Times New Roman"/>
          <w:kern w:val="0"/>
          <w:sz w:val="24"/>
          <w:szCs w:val="24"/>
          <w:lang w:val="ro-RO"/>
        </w:rPr>
        <w:footnoteReference w:id="38"/>
      </w:r>
      <w:r w:rsidRPr="000C6E07">
        <w:rPr>
          <w:rFonts w:eastAsia="Times New Roman"/>
          <w:kern w:val="0"/>
          <w:sz w:val="24"/>
          <w:szCs w:val="24"/>
          <w:lang w:val="ro-RO"/>
        </w:rPr>
        <w:t xml:space="preserve"> </w:t>
      </w:r>
      <w:r w:rsidRPr="000C6E07">
        <w:rPr>
          <w:sz w:val="24"/>
          <w:szCs w:val="24"/>
          <w:lang w:val="ro-RO"/>
        </w:rPr>
        <w:t>a apreciat pozitiv faptul că a fost elaborat un îndrumar</w:t>
      </w:r>
      <w:r w:rsidRPr="000C6E07">
        <w:rPr>
          <w:rStyle w:val="aff3"/>
          <w:sz w:val="24"/>
          <w:szCs w:val="24"/>
          <w:lang w:val="ro-RO"/>
        </w:rPr>
        <w:footnoteReference w:id="39"/>
      </w:r>
      <w:r w:rsidRPr="000C6E07">
        <w:rPr>
          <w:sz w:val="24"/>
          <w:szCs w:val="24"/>
          <w:lang w:val="ro-RO"/>
        </w:rPr>
        <w:t xml:space="preserve"> specific pentru ofițerii de poliție, dar a subliniat expertiza insuficientă a ofițerilor de poliție care se ocupă de cazurile de discurs de ură drept una dintre principalele provocări. </w:t>
      </w:r>
      <w:r w:rsidRPr="000C6E07">
        <w:rPr>
          <w:sz w:val="24"/>
          <w:lang w:val="ro-RO"/>
        </w:rPr>
        <w:t xml:space="preserve">Un sondaj sociologic realizat de </w:t>
      </w:r>
      <w:proofErr w:type="spellStart"/>
      <w:r w:rsidRPr="000C6E07">
        <w:rPr>
          <w:sz w:val="24"/>
          <w:lang w:val="ro-RO"/>
        </w:rPr>
        <w:t>Promo</w:t>
      </w:r>
      <w:proofErr w:type="spellEnd"/>
      <w:r w:rsidRPr="000C6E07">
        <w:rPr>
          <w:sz w:val="24"/>
          <w:lang w:val="ro-RO"/>
        </w:rPr>
        <w:t>-LEX</w:t>
      </w:r>
      <w:r w:rsidRPr="000C6E07">
        <w:rPr>
          <w:rStyle w:val="aff3"/>
          <w:sz w:val="24"/>
          <w:lang w:val="ro-RO"/>
        </w:rPr>
        <w:footnoteReference w:id="40"/>
      </w:r>
      <w:r w:rsidRPr="000C6E07">
        <w:rPr>
          <w:sz w:val="24"/>
          <w:lang w:val="ro-RO"/>
        </w:rPr>
        <w:t>. în parteneriat cu INSP, în iulie 2023, a identificat mai multe provocări ale poliției legate de procesul de documentare și tragere la răspundere a discursului de ură: noțiunile de</w:t>
      </w:r>
      <w:r w:rsidRPr="000C6E07">
        <w:rPr>
          <w:i/>
          <w:sz w:val="24"/>
          <w:lang w:val="ro-RO"/>
        </w:rPr>
        <w:t xml:space="preserve"> discurs de ură, instigare la discriminare pe motive de prejudecată, infracțiuni motivate de prejudecată</w:t>
      </w:r>
      <w:r w:rsidRPr="000C6E07">
        <w:rPr>
          <w:sz w:val="24"/>
          <w:lang w:val="ro-RO"/>
        </w:rPr>
        <w:t xml:space="preserve"> nu sunt înțelese de către agenții constatatori, iar aceștia fac confuzii între „critică”, „injurie” și „discurs de ură”. Totodată, 21,5% din numărul total de agenți constatatori nu cunosc aspectele ce trebuie să fie documentate în astfel de cazuri, iar 23,9% nu cunosc metodele de analiză ale nivelului de gravitate. ECRI recomandă </w:t>
      </w:r>
      <w:r w:rsidRPr="000C6E07">
        <w:rPr>
          <w:sz w:val="24"/>
          <w:szCs w:val="24"/>
          <w:lang w:val="ro-RO"/>
        </w:rPr>
        <w:t xml:space="preserve">formarea cuprinzătoare a ofițerilor de poliție cu privire la modul optim de utilizare a dispozițiilor legale existente privind combaterea discursurilor de instigare la ură. Mai mult, ECRI îndeamnă autoritățile să ia măsuri pentru a preveni și combate </w:t>
      </w:r>
      <w:r w:rsidRPr="000C6E07">
        <w:rPr>
          <w:sz w:val="24"/>
          <w:szCs w:val="24"/>
          <w:lang w:val="ro-RO"/>
        </w:rPr>
        <w:lastRenderedPageBreak/>
        <w:t xml:space="preserve">discursurile de instigare la ură în mediul online, în conformitate cu Recomandarea de politică generală nr. 15 a ECRI privind combaterea discursului de instigare la ură și cu Recomandarea CM/Rec(2022)16 a Comitetului de Miniștri privind combaterea discursului de instigare la ură. </w:t>
      </w:r>
    </w:p>
    <w:p w14:paraId="13031E23" w14:textId="1A951A1F" w:rsidR="000C6E07" w:rsidRPr="000C6E07" w:rsidRDefault="000C6E07" w:rsidP="000C6E07">
      <w:pPr>
        <w:spacing w:after="0"/>
        <w:ind w:firstLine="540"/>
        <w:jc w:val="both"/>
        <w:rPr>
          <w:sz w:val="24"/>
          <w:lang w:val="ro-RO"/>
        </w:rPr>
      </w:pPr>
      <w:r w:rsidRPr="000C6E07">
        <w:rPr>
          <w:b/>
          <w:sz w:val="24"/>
          <w:lang w:val="ro-RO"/>
        </w:rPr>
        <w:t>Întrunirile digitale</w:t>
      </w:r>
      <w:r w:rsidRPr="000C6E07">
        <w:rPr>
          <w:sz w:val="24"/>
          <w:lang w:val="ro-RO"/>
        </w:rPr>
        <w:t xml:space="preserve"> devin tot mai frecvente în context civic, dar pot ridica probleme de securitate sau pot necesita intervenții coordonate. Deocamdată lipsește un cadru operațional clar pentru gestionarea întrunirilor digitale și a celor hibrid. </w:t>
      </w:r>
    </w:p>
    <w:p w14:paraId="79A7EC45" w14:textId="77777777" w:rsidR="000C6E07" w:rsidRPr="000C6E07" w:rsidRDefault="000C6E07" w:rsidP="000C6E07">
      <w:pPr>
        <w:pStyle w:val="61"/>
        <w:spacing w:before="0" w:beforeAutospacing="0" w:after="0" w:line="240" w:lineRule="auto"/>
        <w:ind w:firstLine="540"/>
        <w:jc w:val="both"/>
        <w:rPr>
          <w:rFonts w:ascii="Times New Roman" w:hAnsi="Times New Roman"/>
          <w:sz w:val="24"/>
          <w:szCs w:val="24"/>
          <w:lang w:val="ro-RO"/>
        </w:rPr>
      </w:pPr>
      <w:r w:rsidRPr="000C6E07">
        <w:rPr>
          <w:rFonts w:ascii="Times New Roman" w:hAnsi="Times New Roman"/>
          <w:sz w:val="24"/>
          <w:szCs w:val="24"/>
          <w:lang w:val="ro-RO"/>
        </w:rPr>
        <w:t>Deși legea oferă un cadru compatibil cu standardele internaționale în domeniu, s-a constatat că anumite aspecte legate de reglementarea întrunirilor publice în mediul online (prevăzute de Comentariul General nr. 37</w:t>
      </w:r>
      <w:r w:rsidRPr="000C6E07">
        <w:rPr>
          <w:rFonts w:ascii="Times New Roman" w:hAnsi="Times New Roman"/>
          <w:sz w:val="24"/>
          <w:lang w:val="ro-RO"/>
        </w:rPr>
        <w:t xml:space="preserve"> al </w:t>
      </w:r>
      <w:r w:rsidRPr="000C6E07">
        <w:rPr>
          <w:rFonts w:ascii="Times New Roman" w:hAnsi="Times New Roman" w:cs="Times New Roman"/>
          <w:sz w:val="24"/>
          <w:lang w:val="ro-RO"/>
        </w:rPr>
        <w:t>Comitetul pentru Drepturile Omului al ONU (</w:t>
      </w:r>
      <w:r w:rsidRPr="000C6E07">
        <w:rPr>
          <w:rFonts w:ascii="Times New Roman" w:hAnsi="Times New Roman"/>
          <w:sz w:val="24"/>
          <w:lang w:val="ro-RO"/>
        </w:rPr>
        <w:t>în care s-</w:t>
      </w:r>
      <w:r w:rsidRPr="000C6E07">
        <w:rPr>
          <w:rFonts w:ascii="Times New Roman" w:hAnsi="Times New Roman" w:cs="Times New Roman"/>
          <w:sz w:val="24"/>
          <w:lang w:val="ro-RO"/>
        </w:rPr>
        <w:t>a subliniat necesitatea protejării libertății de întrunire, indiferent de locul în care se desfășoară (în public, privat, offline sau online ori o combinație dintre acestea).</w:t>
      </w:r>
      <w:r w:rsidRPr="000C6E07">
        <w:rPr>
          <w:rStyle w:val="aff3"/>
          <w:rFonts w:ascii="Times New Roman" w:hAnsi="Times New Roman"/>
          <w:color w:val="0070C0"/>
          <w:sz w:val="24"/>
          <w:szCs w:val="24"/>
          <w:lang w:val="ro-RO"/>
        </w:rPr>
        <w:footnoteReference w:id="41"/>
      </w:r>
      <w:r w:rsidRPr="000C6E07">
        <w:rPr>
          <w:rFonts w:ascii="Times New Roman" w:hAnsi="Times New Roman"/>
          <w:sz w:val="24"/>
          <w:szCs w:val="24"/>
          <w:lang w:val="ro-RO"/>
        </w:rPr>
        <w:t xml:space="preserve"> nu au acoperire în legislația națională. Raportul din 2023 al MAI de evaluare a oportunității de modificare a cadrului legal privind evenimentele publice din perspectiva Comentariului General nr. 37, concluzionează că Legea nr. 26/2008 privind întrunirile rămâne actuală realităților din țară și, corespunde în mare parte, recomandărilor organismelor internaționale din domeniul protecției drepturilor omului, din care considerent nu au fost identificate premise pentru operarea modificărilor la acest act normativ.</w:t>
      </w:r>
    </w:p>
    <w:p w14:paraId="3A1FFED0" w14:textId="77777777" w:rsidR="000C6E07" w:rsidRPr="000C6E07" w:rsidRDefault="000C6E07" w:rsidP="000C6E07">
      <w:pPr>
        <w:pStyle w:val="61"/>
        <w:spacing w:before="0" w:beforeAutospacing="0" w:after="0" w:line="240" w:lineRule="auto"/>
        <w:ind w:firstLine="540"/>
        <w:jc w:val="both"/>
        <w:rPr>
          <w:rFonts w:ascii="Times New Roman" w:hAnsi="Times New Roman" w:cs="Times New Roman"/>
          <w:bCs/>
          <w:sz w:val="24"/>
          <w:szCs w:val="24"/>
          <w:lang w:val="ro-RO"/>
        </w:rPr>
      </w:pPr>
      <w:r w:rsidRPr="000C6E07">
        <w:rPr>
          <w:rFonts w:ascii="Times New Roman" w:hAnsi="Times New Roman" w:cs="Times New Roman"/>
          <w:b/>
          <w:bCs/>
          <w:sz w:val="24"/>
          <w:szCs w:val="24"/>
          <w:lang w:val="ro-RO"/>
        </w:rPr>
        <w:t xml:space="preserve">Violență în bază de gen facilitată de tehnologie (VBGFT) </w:t>
      </w:r>
      <w:r w:rsidRPr="000C6E07">
        <w:rPr>
          <w:rFonts w:ascii="Times New Roman" w:hAnsi="Times New Roman" w:cs="Times New Roman"/>
          <w:bCs/>
          <w:sz w:val="24"/>
          <w:szCs w:val="24"/>
          <w:lang w:val="ro-RO"/>
        </w:rPr>
        <w:t>este o formă din ce în ce mai răspândită și îngrijorătoare de violență în bază de gen și poate fi definite ca un act de violență săvârșit de una sau mai multe persoane care este comis, asistat, agravat sau amplificat parțial sau total de către utilizarea tehnologiilor informațiilor și comunicațiilor sau a mediului digital, împotriva unei persoane în baza genului său. VBGFT depășește limitele internetului și cuprinde o varietate mare de acțiuni și comportamente, facilitate atât de hardware, cât și de software, atât în spațiile online, cât și offline, susținute de norme sociale și de gen dăunătoare. Studiul UNFPA</w:t>
      </w:r>
      <w:r w:rsidRPr="000C6E07">
        <w:rPr>
          <w:rStyle w:val="aff3"/>
          <w:rFonts w:ascii="Times New Roman" w:hAnsi="Times New Roman"/>
          <w:bCs/>
          <w:sz w:val="24"/>
          <w:szCs w:val="24"/>
          <w:lang w:val="ro-RO"/>
        </w:rPr>
        <w:footnoteReference w:id="42"/>
      </w:r>
      <w:r w:rsidRPr="000C6E07">
        <w:rPr>
          <w:rFonts w:ascii="Times New Roman" w:hAnsi="Times New Roman" w:cs="Times New Roman"/>
          <w:bCs/>
          <w:sz w:val="24"/>
          <w:szCs w:val="24"/>
          <w:lang w:val="ro-RO"/>
        </w:rPr>
        <w:t xml:space="preserve"> arată că femeile și fetele sunt cele mai frecvente și cele mai afectate ținte ale VBGFT. VBGFT poate lua mai multe forme inclusiv fizică, psihologică, economică sau sexuală. VBGFT se poate răspândi ușor prin intermediul platformelor și dispozitivelor digitale prin mai multe modalități, care sunt în continuă evoluție, printre care hărțuirea online, urmărire online, abuz bazat pe imagini, </w:t>
      </w:r>
      <w:proofErr w:type="spellStart"/>
      <w:r w:rsidRPr="000C6E07">
        <w:rPr>
          <w:rFonts w:ascii="Times New Roman" w:hAnsi="Times New Roman" w:cs="Times New Roman"/>
          <w:bCs/>
          <w:sz w:val="24"/>
          <w:szCs w:val="24"/>
          <w:lang w:val="ro-RO"/>
        </w:rPr>
        <w:t>doxxing</w:t>
      </w:r>
      <w:proofErr w:type="spellEnd"/>
      <w:r w:rsidRPr="000C6E07">
        <w:rPr>
          <w:rFonts w:ascii="Times New Roman" w:hAnsi="Times New Roman" w:cs="Times New Roman"/>
          <w:bCs/>
          <w:sz w:val="24"/>
          <w:szCs w:val="24"/>
          <w:lang w:val="ro-RO"/>
        </w:rPr>
        <w:t xml:space="preserve"> (divulgarea fără consimțământ a informațiilor personale), abuz sexual facilitat de tehnologie, recrutare sau ademenire, </w:t>
      </w:r>
      <w:proofErr w:type="spellStart"/>
      <w:r w:rsidRPr="000C6E07">
        <w:rPr>
          <w:rFonts w:ascii="Times New Roman" w:hAnsi="Times New Roman" w:cs="Times New Roman"/>
          <w:bCs/>
          <w:sz w:val="24"/>
          <w:szCs w:val="24"/>
          <w:lang w:val="ro-RO"/>
        </w:rPr>
        <w:t>hacking</w:t>
      </w:r>
      <w:proofErr w:type="spellEnd"/>
      <w:r w:rsidRPr="000C6E07">
        <w:rPr>
          <w:rFonts w:ascii="Times New Roman" w:hAnsi="Times New Roman" w:cs="Times New Roman"/>
          <w:bCs/>
          <w:sz w:val="24"/>
          <w:szCs w:val="24"/>
          <w:lang w:val="ro-RO"/>
        </w:rPr>
        <w:t xml:space="preserve">, discurs de incitare la ură. </w:t>
      </w:r>
    </w:p>
    <w:p w14:paraId="787F5331" w14:textId="77777777" w:rsidR="000C6E07" w:rsidRPr="000C6E07" w:rsidRDefault="000C6E07" w:rsidP="000C6E07">
      <w:pPr>
        <w:pStyle w:val="61"/>
        <w:spacing w:before="0" w:beforeAutospacing="0" w:after="0" w:line="240" w:lineRule="auto"/>
        <w:ind w:firstLine="540"/>
        <w:jc w:val="both"/>
        <w:rPr>
          <w:rFonts w:ascii="Times New Roman" w:hAnsi="Times New Roman" w:cs="Times New Roman"/>
          <w:bCs/>
          <w:sz w:val="24"/>
          <w:szCs w:val="24"/>
          <w:lang w:val="ro-RO"/>
        </w:rPr>
      </w:pPr>
      <w:r w:rsidRPr="000C6E07">
        <w:rPr>
          <w:rFonts w:ascii="Times New Roman" w:hAnsi="Times New Roman" w:cs="Times New Roman"/>
          <w:bCs/>
          <w:sz w:val="24"/>
          <w:szCs w:val="24"/>
          <w:lang w:val="ro-RO"/>
        </w:rPr>
        <w:t xml:space="preserve">Fenomenul VBGFT nu este studiat aprofundat în Republica Moldova, dar în contextul progresului tehnologic este previzibil ca beneficiile tehnologiei să fie însoțite și în Republica Moldova de încărcătura negativă pe care o manifestă tehnologiile noi la nivel global. </w:t>
      </w:r>
    </w:p>
    <w:p w14:paraId="47A772A4" w14:textId="77777777" w:rsidR="000C6E07" w:rsidRPr="000C6E07" w:rsidRDefault="000C6E07" w:rsidP="000C6E07">
      <w:pPr>
        <w:pStyle w:val="61"/>
        <w:spacing w:before="0" w:beforeAutospacing="0" w:after="0" w:line="240" w:lineRule="auto"/>
        <w:ind w:firstLine="540"/>
        <w:jc w:val="both"/>
        <w:rPr>
          <w:rFonts w:ascii="Times New Roman" w:hAnsi="Times New Roman" w:cs="Times New Roman"/>
          <w:bCs/>
          <w:sz w:val="24"/>
          <w:szCs w:val="24"/>
          <w:lang w:val="ro-RO"/>
        </w:rPr>
      </w:pPr>
      <w:r w:rsidRPr="000C6E07">
        <w:rPr>
          <w:rFonts w:ascii="Times New Roman" w:hAnsi="Times New Roman" w:cs="Times New Roman"/>
          <w:bCs/>
          <w:sz w:val="24"/>
          <w:szCs w:val="24"/>
          <w:lang w:val="ro-RO"/>
        </w:rPr>
        <w:t>O parte din manifestările infracționale ale VBGFT sunt monitorizate și investigate de subdiviziunile specializate ale Inspectoratului Național de Investigații, însă componentele care afectează securitatea și ordinea publică nu beneficiază de o abordare sistemică, fiind lipsite de resurse dedicate în cadrul structurilor responsabile de menținerea ordinii și securității publice.</w:t>
      </w:r>
    </w:p>
    <w:p w14:paraId="7DE5D085" w14:textId="77777777" w:rsidR="000C6E07" w:rsidRPr="000C6E07" w:rsidRDefault="000C6E07" w:rsidP="000C6E07">
      <w:pPr>
        <w:pStyle w:val="61"/>
        <w:spacing w:before="0" w:beforeAutospacing="0" w:after="0" w:line="240" w:lineRule="auto"/>
        <w:ind w:firstLine="540"/>
        <w:jc w:val="both"/>
        <w:rPr>
          <w:rFonts w:ascii="Times New Roman" w:hAnsi="Times New Roman" w:cs="Times New Roman"/>
          <w:b/>
          <w:bCs/>
          <w:sz w:val="24"/>
          <w:szCs w:val="24"/>
          <w:lang w:val="ro-RO"/>
        </w:rPr>
      </w:pPr>
    </w:p>
    <w:p w14:paraId="747D8170" w14:textId="77777777" w:rsidR="000C6E07" w:rsidRPr="000C6E07" w:rsidRDefault="000C6E07" w:rsidP="000C6E07">
      <w:pPr>
        <w:pStyle w:val="61"/>
        <w:spacing w:before="0" w:beforeAutospacing="0" w:after="0" w:line="240" w:lineRule="auto"/>
        <w:ind w:firstLine="540"/>
        <w:jc w:val="both"/>
        <w:rPr>
          <w:rFonts w:ascii="Times New Roman" w:hAnsi="Times New Roman" w:cs="Times New Roman"/>
          <w:b/>
          <w:bCs/>
          <w:sz w:val="24"/>
          <w:szCs w:val="24"/>
          <w:lang w:val="ro-RO"/>
        </w:rPr>
      </w:pPr>
      <w:r w:rsidRPr="000C6E07">
        <w:rPr>
          <w:rFonts w:ascii="Times New Roman" w:hAnsi="Times New Roman" w:cs="Times New Roman"/>
          <w:b/>
          <w:bCs/>
          <w:sz w:val="24"/>
          <w:szCs w:val="24"/>
          <w:lang w:val="ro-RO"/>
        </w:rPr>
        <w:t>Deficiențele serviciilor de OSP privind siguranța în mediul online</w:t>
      </w:r>
    </w:p>
    <w:p w14:paraId="0DDBA119" w14:textId="77777777" w:rsidR="000C6E07" w:rsidRPr="000C6E07" w:rsidRDefault="000C6E07" w:rsidP="000C6E07">
      <w:pPr>
        <w:pStyle w:val="61"/>
        <w:spacing w:before="0" w:beforeAutospacing="0" w:after="0" w:line="240" w:lineRule="auto"/>
        <w:ind w:firstLine="540"/>
        <w:jc w:val="both"/>
        <w:rPr>
          <w:rFonts w:ascii="Times New Roman" w:hAnsi="Times New Roman"/>
          <w:sz w:val="24"/>
          <w:lang w:val="ro-RO"/>
        </w:rPr>
      </w:pPr>
      <w:r w:rsidRPr="000C6E07">
        <w:rPr>
          <w:rFonts w:ascii="Times New Roman" w:hAnsi="Times New Roman"/>
          <w:sz w:val="24"/>
          <w:lang w:val="ro-RO"/>
        </w:rPr>
        <w:t xml:space="preserve">Internetul funcționează ca un spațiu public virtual, ceea ce impune autorităților obligația de a proteja cetățenii și în mediul online, nu doar în cel fizic. Structurile MAI, inclusiv Poliția și Carabinierii, se confruntă cu provocări majore în adaptarea la realitățile digitale, în special din cauza lipsei unor structuri specializate pentru analiza și gestionarea riscurilor ce afectează ordinea publică online, precum discursul de ură, instigarea la violență, VBGFT, sau mobilizările spontane. </w:t>
      </w:r>
      <w:r w:rsidRPr="000C6E07">
        <w:rPr>
          <w:rFonts w:ascii="Times New Roman" w:hAnsi="Times New Roman"/>
          <w:sz w:val="24"/>
          <w:szCs w:val="24"/>
          <w:lang w:val="ro-RO"/>
        </w:rPr>
        <w:t xml:space="preserve">Mediul online a devenit un spațiu de manifestare a unor fenomene infracționale și de violență, inclusiv forme de violență bazată pe gen, care rămân adesea neidentificate sau neabordate adecvat în lipsa unor mecanisme specializate. </w:t>
      </w:r>
      <w:r w:rsidRPr="000C6E07">
        <w:rPr>
          <w:rFonts w:ascii="Times New Roman" w:hAnsi="Times New Roman"/>
          <w:sz w:val="24"/>
          <w:lang w:val="ro-RO"/>
        </w:rPr>
        <w:t xml:space="preserve">Integrarea dimensiunii digitale în planificarea și desfășurarea operațiunilor este limitată, iar cooperarea </w:t>
      </w:r>
      <w:r w:rsidRPr="000C6E07">
        <w:rPr>
          <w:rFonts w:ascii="Times New Roman" w:hAnsi="Times New Roman"/>
          <w:sz w:val="24"/>
          <w:szCs w:val="24"/>
          <w:lang w:val="ro-RO"/>
        </w:rPr>
        <w:t>interinstituțională</w:t>
      </w:r>
      <w:r w:rsidRPr="000C6E07">
        <w:rPr>
          <w:rFonts w:ascii="Times New Roman" w:hAnsi="Times New Roman"/>
          <w:sz w:val="24"/>
          <w:lang w:val="ro-RO"/>
        </w:rPr>
        <w:t xml:space="preserve"> cu actorii din domeniul securității cibernetice, justiției sau cu platformele digitale rămâne fragmentară. Carențe de ordin tehnic, legal și profesional reduc capacitatea instituțională de a reacționa eficient la formele emergente de perturbare a ordinii publice în spațiul digital.</w:t>
      </w:r>
    </w:p>
    <w:p w14:paraId="3DBFF5DA" w14:textId="77777777" w:rsidR="000C6E07" w:rsidRPr="000C6E07" w:rsidRDefault="000C6E07" w:rsidP="000C6E07">
      <w:pPr>
        <w:pStyle w:val="61"/>
        <w:spacing w:before="0" w:beforeAutospacing="0" w:after="0" w:line="240" w:lineRule="auto"/>
        <w:ind w:firstLine="540"/>
        <w:jc w:val="both"/>
        <w:rPr>
          <w:rFonts w:ascii="Times New Roman" w:hAnsi="Times New Roman"/>
          <w:sz w:val="24"/>
          <w:szCs w:val="24"/>
          <w:lang w:val="ro-RO"/>
        </w:rPr>
      </w:pPr>
      <w:r w:rsidRPr="000C6E07">
        <w:rPr>
          <w:rFonts w:ascii="Times New Roman" w:hAnsi="Times New Roman"/>
          <w:sz w:val="24"/>
          <w:szCs w:val="24"/>
          <w:lang w:val="ro-RO"/>
        </w:rPr>
        <w:lastRenderedPageBreak/>
        <w:t xml:space="preserve">Pentru a face față </w:t>
      </w:r>
      <w:r w:rsidRPr="000C6E07">
        <w:rPr>
          <w:rFonts w:ascii="Times New Roman" w:hAnsi="Times New Roman"/>
          <w:sz w:val="24"/>
          <w:lang w:val="ro-RO"/>
        </w:rPr>
        <w:t>provocărilor</w:t>
      </w:r>
      <w:r w:rsidRPr="000C6E07">
        <w:rPr>
          <w:rFonts w:ascii="Times New Roman" w:hAnsi="Times New Roman"/>
          <w:sz w:val="24"/>
          <w:szCs w:val="24"/>
          <w:lang w:val="ro-RO"/>
        </w:rPr>
        <w:t xml:space="preserve"> tot mai diverse din mediul digital și a-și îndeplini în mod eficient rolul în prevenirea și contracararea riscurilor care afectează ordinea și securitatea publică, serviciile de ordine publică trebuie să își extindă capacitățile instituționale, operaționale și tehnologice. Serviciile de ordine publică ar trebui să își dezvolte o prezență activă și adaptată în spațiul digital. Aceasta presupune, în primul rând, formarea continuă și specializată a polițiștilor în recunoașterea și tratarea provocărilor digitale. Aceste forme de abuz digital necesită competențe noi, inclusiv în analiza conținutului online, identificarea probelor digitale și intervenția rapidă în spațiul virtual. În paralel, este necesară elaborarea de ghiduri operaționale și proceduri clare pentru fiecare categorie de amenințare digitală, astfel încât polițiștii să dispună de instrumente juridice și tehnice standardizate. Aceste proceduri trebuie să fie corelate cu mecanisme interinstituționale de cooperare, care să implice, după caz, procuratura, autoritățile de reglementare în domeniul comunicațiilor, STISC, CNPDCP și alți actori relevanți. Este importantă crearea unor unități specializate în monitorizare și reacționare în spațiul digital, atât la nivel central, cât și în cadrul inspectoratelor teritoriale, care trebuie susținute logistic și financiar pentru a putea funcționa eficient. </w:t>
      </w:r>
    </w:p>
    <w:p w14:paraId="084787C3" w14:textId="77777777" w:rsidR="000C6E07" w:rsidRPr="000C6E07" w:rsidRDefault="000C6E07" w:rsidP="000C6E07">
      <w:pPr>
        <w:pStyle w:val="61"/>
        <w:spacing w:before="0" w:beforeAutospacing="0" w:after="0" w:line="240" w:lineRule="auto"/>
        <w:ind w:firstLine="540"/>
        <w:jc w:val="both"/>
        <w:rPr>
          <w:rFonts w:ascii="Times New Roman" w:hAnsi="Times New Roman"/>
          <w:color w:val="0070C0"/>
          <w:sz w:val="24"/>
          <w:szCs w:val="24"/>
          <w:lang w:val="ro-RO"/>
        </w:rPr>
      </w:pPr>
      <w:r w:rsidRPr="000C6E07">
        <w:rPr>
          <w:rFonts w:ascii="Times New Roman" w:hAnsi="Times New Roman"/>
          <w:sz w:val="24"/>
          <w:szCs w:val="24"/>
          <w:lang w:val="ro-RO"/>
        </w:rPr>
        <w:t>Îndrumarul pentru identificarea și sancționarea discursului de ură și instigare la discriminare în mediul digital ar putea servi ca punct de pornire pentru consolidarea și extinderea capacităților poliției de a opera în mediul digital cu scopul contracarării amenințărilor digitale la ordinea și securitatea publică.</w:t>
      </w:r>
    </w:p>
    <w:p w14:paraId="3B2FF5F8" w14:textId="77777777" w:rsidR="000C6E07" w:rsidRPr="000C6E07" w:rsidRDefault="000C6E07" w:rsidP="000C6E07">
      <w:pPr>
        <w:pStyle w:val="61"/>
        <w:spacing w:before="0" w:beforeAutospacing="0" w:after="0" w:line="240" w:lineRule="auto"/>
        <w:ind w:firstLine="540"/>
        <w:jc w:val="both"/>
        <w:rPr>
          <w:rFonts w:ascii="Times New Roman" w:hAnsi="Times New Roman"/>
          <w:sz w:val="24"/>
          <w:szCs w:val="24"/>
          <w:lang w:val="ro-RO"/>
        </w:rPr>
      </w:pPr>
      <w:r w:rsidRPr="000C6E07">
        <w:rPr>
          <w:rFonts w:ascii="Times New Roman" w:hAnsi="Times New Roman"/>
          <w:sz w:val="24"/>
          <w:szCs w:val="24"/>
          <w:lang w:val="ro-RO"/>
        </w:rPr>
        <w:t xml:space="preserve">În lipsa unui răspuns coerent și sistematic din partea serviciilor de ordine publică, mediul online nu va fi protejat în egală măsură cu alte spații publice, iar o serie de încălcări care se produc cu precădere în mediul online vor scăpa din vizorul forțelor de ordine. În timp, fenomenele s-ar putea amplifica, iar serviciile publice vor fi depășite de situație și nu vor avea structura, expertiza și instrumentele necesare dezvoltate pentru a face față provocărilor. </w:t>
      </w:r>
    </w:p>
    <w:p w14:paraId="39FBF26D" w14:textId="77777777" w:rsidR="000C6E07" w:rsidRPr="000C6E07" w:rsidRDefault="000C6E07" w:rsidP="000C6E07">
      <w:pPr>
        <w:spacing w:before="240"/>
        <w:jc w:val="center"/>
        <w:rPr>
          <w:b/>
          <w:sz w:val="24"/>
          <w:lang w:val="ro-RO"/>
        </w:rPr>
      </w:pPr>
      <w:r w:rsidRPr="000C6E07">
        <w:rPr>
          <w:b/>
          <w:sz w:val="24"/>
          <w:lang w:val="ro-RO"/>
        </w:rPr>
        <w:t xml:space="preserve">Secțiunea 6. Protecția infrastructurilor critice naționale </w:t>
      </w:r>
    </w:p>
    <w:p w14:paraId="11901671" w14:textId="77777777" w:rsidR="000C6E07" w:rsidRPr="000C6E07" w:rsidRDefault="000C6E07" w:rsidP="000C6E07">
      <w:pPr>
        <w:spacing w:after="0"/>
        <w:ind w:firstLine="540"/>
        <w:jc w:val="both"/>
        <w:rPr>
          <w:sz w:val="24"/>
          <w:szCs w:val="24"/>
          <w:lang w:val="ro-RO"/>
        </w:rPr>
      </w:pPr>
      <w:r w:rsidRPr="000C6E07">
        <w:rPr>
          <w:b/>
          <w:sz w:val="24"/>
          <w:lang w:val="ro-RO"/>
        </w:rPr>
        <w:t xml:space="preserve">Infrastructura critică în Republica Moldova reprezintă un ansamblu de sisteme, servicii și resurse esențiale pentru funcționarea normală a statului și siguranța populației. </w:t>
      </w:r>
      <w:r w:rsidRPr="000C6E07">
        <w:rPr>
          <w:sz w:val="24"/>
          <w:lang w:val="ro-RO"/>
        </w:rPr>
        <w:t xml:space="preserve">Aceasta include domenii vitale precum energia, transportul, comunicațiile, apa și canalizarea, sănătatea publică, siguranța și ordinea publică, sistemul financiar și rețelele de aprovizionare. Fiecare domeniu </w:t>
      </w:r>
      <w:r w:rsidRPr="000C6E07">
        <w:rPr>
          <w:sz w:val="24"/>
          <w:szCs w:val="24"/>
          <w:lang w:val="ro-RO"/>
        </w:rPr>
        <w:t>include entități care operează cu infrastructura critică pentru a furniza servicii esențiale. Funcționarea continuă și sigură a infrastructurilor critice este esențială pentru menținerea funcțiilor societale, desfășurarea activităților economice vitale, precum și pentru asigurarea securității naționale și a ordinii publice.</w:t>
      </w:r>
    </w:p>
    <w:p w14:paraId="5FB9B488" w14:textId="77777777" w:rsidR="000C6E07" w:rsidRPr="000C6E07" w:rsidRDefault="000C6E07" w:rsidP="000C6E07">
      <w:pPr>
        <w:spacing w:after="0"/>
        <w:ind w:firstLine="540"/>
        <w:jc w:val="both"/>
        <w:rPr>
          <w:sz w:val="24"/>
          <w:lang w:val="ro-RO"/>
        </w:rPr>
      </w:pPr>
      <w:r w:rsidRPr="000C6E07">
        <w:rPr>
          <w:b/>
          <w:sz w:val="24"/>
          <w:lang w:val="ro-RO"/>
        </w:rPr>
        <w:t>Infrastructura critică este expusă unui spectru variat de amenințări care pot afecta grav ordinea și securitatea publică.</w:t>
      </w:r>
      <w:r w:rsidRPr="000C6E07">
        <w:rPr>
          <w:sz w:val="24"/>
          <w:lang w:val="ro-RO"/>
        </w:rPr>
        <w:t xml:space="preserve"> Printre cele mai relevante se numără atacurile cibernetice asupra sistemelor informatice guvernamentale, rețelelor energetice și bancare, care pot perturba grav funcționarea instituțiilor statului. Sabotajul fizic, acțiunile deliberate de distrugere sau interferențele externe, inclusiv cele coordonate de servicii secrete sau grupuri subversive sunt riscuri reale în contextul geopolitic actual, mai ales în zonele sensibile precum regiunea transnistreană. Campaniile de dezinformare legate de infrastructura energetică sau aprovizionarea cu produse de bază, pot escalada rapid în tulburări ale ordinii publice. Disfuncționalitățile infrastructurii critice, fie că este vorba de pene majore de curent, blocarea rețelelor IT sau sistarea aprovizionării cu apă, pot genera panică, proteste sau comportamente agresive din partea populației, afectând stabilitatea socială. </w:t>
      </w:r>
      <w:r w:rsidRPr="000C6E07">
        <w:rPr>
          <w:rFonts w:eastAsia="SimSun"/>
          <w:kern w:val="2"/>
          <w:sz w:val="24"/>
          <w:szCs w:val="24"/>
          <w:lang w:val="ro-RO"/>
        </w:rPr>
        <w:t>Infrastructurile energetice, de comunicații, transport și sănătate sunt vulnerabile și la atacuri informatice sofisticate care pot cauza perturbări majore, întreruperi ale serviciilor și pierderi economice semnificative.</w:t>
      </w:r>
      <w:r w:rsidRPr="000C6E07">
        <w:rPr>
          <w:sz w:val="24"/>
          <w:lang w:val="ro-RO"/>
        </w:rPr>
        <w:t xml:space="preserve"> În contextul amplificării și diversificării amenințărilor la adresa securității, inclusiv a celor hibride aflate în continuă evoluție, precum și al interdependențelor tot mai complexe dintre infrastructurile critice naționale din diverse sectoare, se impune intensificarea eforturilor pentru consolidarea protecției acestora.</w:t>
      </w:r>
    </w:p>
    <w:p w14:paraId="724FAA2F" w14:textId="1B99E63B" w:rsidR="000C6E07" w:rsidRPr="000C6E07" w:rsidRDefault="000C6E07" w:rsidP="000C6E07">
      <w:pPr>
        <w:spacing w:after="0"/>
        <w:ind w:firstLine="540"/>
        <w:jc w:val="both"/>
        <w:rPr>
          <w:sz w:val="24"/>
          <w:lang w:val="ro-RO"/>
        </w:rPr>
      </w:pPr>
      <w:r w:rsidRPr="000C6E07">
        <w:rPr>
          <w:sz w:val="24"/>
          <w:lang w:val="ro-RO"/>
        </w:rPr>
        <w:t xml:space="preserve">Lista de vulnerabilități interne este completată de </w:t>
      </w:r>
      <w:r w:rsidRPr="000C6E07">
        <w:rPr>
          <w:b/>
          <w:sz w:val="24"/>
          <w:lang w:val="ro-RO"/>
        </w:rPr>
        <w:t>subfinanțarea sistematică a măsurilor de protecție, lipsa unei evaluări actualizate a riscurilor pentru infrastructura critică și slaba coordonare interinstituțională</w:t>
      </w:r>
      <w:r w:rsidRPr="000C6E07">
        <w:rPr>
          <w:sz w:val="24"/>
          <w:lang w:val="ro-RO"/>
        </w:rPr>
        <w:t xml:space="preserve"> între MAI, SIS, Ministerul Infrastructurii și Dezvoltării Regionale, Agenția pentru Guvernare Electronică și alte entități relevante</w:t>
      </w:r>
      <w:r w:rsidRPr="000C6E07">
        <w:rPr>
          <w:b/>
          <w:sz w:val="24"/>
          <w:lang w:val="ro-RO"/>
        </w:rPr>
        <w:t>.</w:t>
      </w:r>
      <w:r w:rsidRPr="000C6E07">
        <w:rPr>
          <w:sz w:val="24"/>
          <w:lang w:val="ro-RO"/>
        </w:rPr>
        <w:t xml:space="preserve"> În multe cazuri, planurile de continuitate în caz de criză sunt învechite sau inexistente, iar procedurile standardizate de intervenție lipsesc. De asemenea, numeroase obiective critice nu dispun de sisteme eficiente de supraveghere video, protecție perimetrală sau mecanisme rapide de alertare.</w:t>
      </w:r>
    </w:p>
    <w:p w14:paraId="7540B2AD" w14:textId="166E2CD9" w:rsidR="000C6E07" w:rsidRPr="000C6E07" w:rsidRDefault="000C6E07" w:rsidP="000C6E07">
      <w:pPr>
        <w:spacing w:after="0"/>
        <w:ind w:firstLine="540"/>
        <w:jc w:val="both"/>
        <w:rPr>
          <w:sz w:val="24"/>
          <w:szCs w:val="24"/>
          <w:lang w:val="ro-RO"/>
        </w:rPr>
      </w:pPr>
      <w:r w:rsidRPr="000C6E07">
        <w:rPr>
          <w:b/>
          <w:sz w:val="24"/>
          <w:szCs w:val="24"/>
          <w:lang w:val="ro-RO"/>
        </w:rPr>
        <w:lastRenderedPageBreak/>
        <w:t>În prezent,</w:t>
      </w:r>
      <w:r w:rsidRPr="000C6E07">
        <w:rPr>
          <w:sz w:val="24"/>
          <w:szCs w:val="24"/>
          <w:lang w:val="ro-RO"/>
        </w:rPr>
        <w:t xml:space="preserve"> </w:t>
      </w:r>
      <w:r w:rsidRPr="000C6E07">
        <w:rPr>
          <w:b/>
          <w:sz w:val="24"/>
          <w:szCs w:val="24"/>
          <w:lang w:val="ro-RO"/>
        </w:rPr>
        <w:t xml:space="preserve">în Republica Moldova nu există cadru normativ care să reglementeze modul în care se </w:t>
      </w:r>
      <w:r w:rsidRPr="000C6E07">
        <w:rPr>
          <w:b/>
          <w:sz w:val="24"/>
          <w:lang w:val="ro-RO"/>
        </w:rPr>
        <w:t>realizează</w:t>
      </w:r>
      <w:r w:rsidRPr="000C6E07">
        <w:rPr>
          <w:b/>
          <w:sz w:val="24"/>
          <w:szCs w:val="24"/>
          <w:lang w:val="ro-RO"/>
        </w:rPr>
        <w:t xml:space="preserve"> identificarea, desemnarea și protecția infrastructurilor critice naționale.</w:t>
      </w:r>
      <w:r w:rsidRPr="000C6E07">
        <w:rPr>
          <w:bCs/>
          <w:sz w:val="24"/>
          <w:szCs w:val="24"/>
          <w:lang w:val="ro-RO"/>
        </w:rPr>
        <w:t xml:space="preserve"> Republica Moldova</w:t>
      </w:r>
      <w:r w:rsidRPr="000C6E07">
        <w:rPr>
          <w:b/>
          <w:bCs/>
          <w:sz w:val="24"/>
          <w:szCs w:val="24"/>
          <w:lang w:val="ro-RO"/>
        </w:rPr>
        <w:t xml:space="preserve"> </w:t>
      </w:r>
      <w:r w:rsidRPr="000C6E07">
        <w:rPr>
          <w:sz w:val="24"/>
          <w:szCs w:val="24"/>
          <w:lang w:val="ro-RO"/>
        </w:rPr>
        <w:t xml:space="preserve">nu dispune de o listă oficială completă a infrastructurilor critice naționale, cu excepția </w:t>
      </w:r>
      <w:r w:rsidRPr="000C6E07">
        <w:rPr>
          <w:bCs/>
          <w:sz w:val="24"/>
          <w:szCs w:val="24"/>
          <w:lang w:val="ro-RO"/>
        </w:rPr>
        <w:t>Nomenclatorului național al infrastructurii critice</w:t>
      </w:r>
      <w:r w:rsidRPr="000C6E07">
        <w:rPr>
          <w:sz w:val="24"/>
          <w:szCs w:val="24"/>
          <w:lang w:val="ro-RO"/>
        </w:rPr>
        <w:t xml:space="preserve">, aprobat prin </w:t>
      </w:r>
      <w:r w:rsidRPr="000C6E07">
        <w:rPr>
          <w:bCs/>
          <w:sz w:val="24"/>
          <w:szCs w:val="24"/>
          <w:lang w:val="ro-RO"/>
        </w:rPr>
        <w:t>Hotărârea Guvernului. 701/2018</w:t>
      </w:r>
      <w:r w:rsidRPr="000C6E07">
        <w:rPr>
          <w:sz w:val="24"/>
          <w:szCs w:val="24"/>
          <w:lang w:val="ro-RO"/>
        </w:rPr>
        <w:t>. Nomenclatorul are un caracter limitat, întrucât este elaborat exclusiv în scopul protecției antiteroriste.</w:t>
      </w:r>
    </w:p>
    <w:p w14:paraId="4E137C60" w14:textId="77777777" w:rsidR="000C6E07" w:rsidRPr="000C6E07" w:rsidRDefault="000C6E07" w:rsidP="000C6E07">
      <w:pPr>
        <w:spacing w:after="0"/>
        <w:ind w:firstLine="540"/>
        <w:jc w:val="both"/>
        <w:rPr>
          <w:sz w:val="24"/>
          <w:lang w:val="ro-RO"/>
        </w:rPr>
      </w:pPr>
      <w:r w:rsidRPr="000C6E07">
        <w:rPr>
          <w:sz w:val="24"/>
          <w:lang w:val="ro-RO"/>
        </w:rPr>
        <w:t xml:space="preserve">În scopul reglementării acestui domeniu, în 2025 MAI a propus spre consultare publică </w:t>
      </w:r>
      <w:r w:rsidRPr="000C6E07">
        <w:rPr>
          <w:b/>
          <w:sz w:val="24"/>
          <w:lang w:val="ro-RO"/>
        </w:rPr>
        <w:t>proiectul de lege 1161/MAI/2024 privind identificarea, desemnarea și protecția infrastructurilor critice naționale</w:t>
      </w:r>
      <w:r w:rsidRPr="000C6E07">
        <w:rPr>
          <w:sz w:val="24"/>
          <w:lang w:val="ro-RO"/>
        </w:rPr>
        <w:t>. Proiectul de lege prevede crearea și operaționalizarea Centrului Național de Coordonare și Protecție a Infrastructurilor Critice Naționale (CNCPICN) în cadrul MAI, care va avea un rol strategic în coordonarea măsurilor de protecție a infrastructurilor critice. CNCPICN ar avea și rolul de a transpune Directiva (UE) 2022/2557 din 14 decembrie 2022 privind reziliența entităților critice, asigurând alinierea Republicii Moldova la standardele europene în domeniu.</w:t>
      </w:r>
    </w:p>
    <w:p w14:paraId="5C974D82" w14:textId="77777777" w:rsidR="000C6E07" w:rsidRPr="000C6E07" w:rsidRDefault="000C6E07" w:rsidP="000C6E07">
      <w:pPr>
        <w:spacing w:after="0"/>
        <w:ind w:firstLine="540"/>
        <w:jc w:val="both"/>
        <w:rPr>
          <w:sz w:val="24"/>
          <w:lang w:val="ro-RO"/>
        </w:rPr>
      </w:pPr>
      <w:r w:rsidRPr="000C6E07">
        <w:rPr>
          <w:sz w:val="24"/>
          <w:lang w:val="ro-RO"/>
        </w:rPr>
        <w:t xml:space="preserve">În ordinea priorităților este crearea cadrului normativ primar, indispensabil pentru elaborarea actelor normative subsecvente ce vor permite desfășurarea eficientă a activităților puse în sarcina CNCPICN. Acest cadru legislativ va sta la baza dezvoltării unui sistem coerent și integrat de protecție a infrastructurilor critice. Totodată, sunt necesare măsuri concrete pentru dezvoltarea capacităților instituționale în identificarea, desemnarea și protecția infrastructurilor critice naționale, printr-un proces riguros de evaluare a riscurilor și stabilire a responsabilităților instituționale, care să includă toate sectoarele relevante și să răspundă provocărilor actuale și viitoare în materie de securitate publică. </w:t>
      </w:r>
    </w:p>
    <w:p w14:paraId="24BDCA8C" w14:textId="56222B63" w:rsidR="00477C4A" w:rsidRDefault="000C6E07" w:rsidP="00477C4A">
      <w:pPr>
        <w:spacing w:after="0"/>
        <w:ind w:firstLine="540"/>
        <w:jc w:val="both"/>
        <w:rPr>
          <w:sz w:val="24"/>
          <w:lang w:val="ro-RO"/>
        </w:rPr>
      </w:pPr>
      <w:r w:rsidRPr="000C6E07">
        <w:rPr>
          <w:sz w:val="24"/>
          <w:lang w:val="ro-RO"/>
        </w:rPr>
        <w:t>Protecția fizică și cibernetică a infrastructurilor critice trebuie să fie consolidată prin investiții strategice, iar personalul MAI implicat în protecția infrastructurii trebuie instruit în scenarii de criză și în reacție rapidă. De asemenea, comunicarea interinstituțională și publică trebuie să fie unitară, transparentă și coordonată, pentru a preveni scenariile de agresiune și a crește încrederea populației în capacitatea statului de a gestiona situațiile de urgență. Consolidarea parteneriatelor internaționale și schimbul de bune practici în domeniu, inclusiv prin cooperare cu Uniunea Europeană și organisme internaționale specializate, completează setul de măsuri necesare pentru întărirea securității și stabilității Republicii Moldova în fața amenințărilor la infrastructura sa critică.</w:t>
      </w:r>
    </w:p>
    <w:p w14:paraId="1E8D3A33" w14:textId="77777777" w:rsidR="008E3D45" w:rsidRPr="008E3D45" w:rsidRDefault="008E3D45" w:rsidP="008E3D45">
      <w:pPr>
        <w:spacing w:after="0"/>
        <w:ind w:firstLine="540"/>
        <w:jc w:val="both"/>
        <w:rPr>
          <w:sz w:val="24"/>
          <w:lang w:val="ro-RO"/>
        </w:rPr>
      </w:pPr>
      <w:r w:rsidRPr="008E3D45">
        <w:rPr>
          <w:b/>
          <w:bCs/>
          <w:sz w:val="24"/>
          <w:lang w:val="ro-RO"/>
        </w:rPr>
        <w:t>Consecințele posibile în cazul neintervenției</w:t>
      </w:r>
    </w:p>
    <w:p w14:paraId="2AFE82CE" w14:textId="77777777" w:rsidR="008E3D45" w:rsidRPr="008E3D45" w:rsidRDefault="008E3D45" w:rsidP="008E3D45">
      <w:pPr>
        <w:spacing w:after="0"/>
        <w:ind w:firstLine="540"/>
        <w:jc w:val="both"/>
        <w:rPr>
          <w:sz w:val="24"/>
          <w:lang w:val="ro-RO"/>
        </w:rPr>
      </w:pPr>
      <w:r w:rsidRPr="008E3D45">
        <w:rPr>
          <w:sz w:val="24"/>
          <w:lang w:val="ro-RO"/>
        </w:rPr>
        <w:t>Nerealizarea măsurilor prevăzute de prezentul Program ar putea duce la amplificarea problemelor deja identificate în analiza situațională, având următoarele consecințe directe și indirecte, susținute de date cantitative și calitative:</w:t>
      </w:r>
    </w:p>
    <w:p w14:paraId="1E74C8BD" w14:textId="2284921F" w:rsidR="008E3D45" w:rsidRPr="008E3D45" w:rsidRDefault="008E3D45" w:rsidP="008E3D45">
      <w:pPr>
        <w:numPr>
          <w:ilvl w:val="0"/>
          <w:numId w:val="22"/>
        </w:numPr>
        <w:spacing w:after="0"/>
        <w:ind w:left="0" w:firstLine="540"/>
        <w:jc w:val="both"/>
        <w:rPr>
          <w:sz w:val="24"/>
          <w:lang w:val="ro-RO"/>
        </w:rPr>
      </w:pPr>
      <w:r w:rsidRPr="008E3D45">
        <w:rPr>
          <w:b/>
          <w:bCs/>
          <w:sz w:val="24"/>
          <w:lang w:val="ro-RO"/>
        </w:rPr>
        <w:t>Reducerea siguranței cetățenilor și creșterea percepției de insecuritate</w:t>
      </w:r>
      <w:r>
        <w:rPr>
          <w:sz w:val="24"/>
          <w:lang w:val="ro-RO"/>
        </w:rPr>
        <w:t xml:space="preserve">. </w:t>
      </w:r>
      <w:r w:rsidR="00105AE3" w:rsidRPr="00105AE3">
        <w:rPr>
          <w:sz w:val="24"/>
          <w:lang w:val="ro-RO"/>
        </w:rPr>
        <w:t xml:space="preserve">Dacă nu se iau măsuri pentru îmbunătățirea siguranței în comunități, tot mai mulți oameni vor </w:t>
      </w:r>
      <w:r w:rsidR="00105AE3">
        <w:rPr>
          <w:sz w:val="24"/>
          <w:lang w:val="ro-RO"/>
        </w:rPr>
        <w:t xml:space="preserve">avea </w:t>
      </w:r>
      <w:r w:rsidR="00105AE3" w:rsidRPr="00105AE3">
        <w:rPr>
          <w:sz w:val="24"/>
          <w:lang w:val="ro-RO"/>
        </w:rPr>
        <w:t xml:space="preserve">sentimentul că nu sunt protejați, mai ales pe timp de noapte sau în locuri puțin supravegheate. Grupurile vulnerabile – cum sunt femeile, vârstnicii sau persoanele cu dizabilități – vor fi cele mai afectate. Această stare de nesiguranță poate limita libertatea de mișcare, </w:t>
      </w:r>
      <w:r w:rsidR="00105AE3">
        <w:rPr>
          <w:sz w:val="24"/>
          <w:lang w:val="ro-RO"/>
        </w:rPr>
        <w:t xml:space="preserve">diminua </w:t>
      </w:r>
      <w:r w:rsidR="00105AE3" w:rsidRPr="00105AE3">
        <w:rPr>
          <w:sz w:val="24"/>
          <w:lang w:val="ro-RO"/>
        </w:rPr>
        <w:t>încrederea în autorități și afecta calitatea vieții în general.</w:t>
      </w:r>
    </w:p>
    <w:p w14:paraId="7CC94C99" w14:textId="04429E6F" w:rsidR="00105AE3" w:rsidRPr="00105AE3" w:rsidRDefault="008E3D45" w:rsidP="008B0364">
      <w:pPr>
        <w:numPr>
          <w:ilvl w:val="0"/>
          <w:numId w:val="22"/>
        </w:numPr>
        <w:spacing w:after="0"/>
        <w:ind w:left="0" w:firstLine="540"/>
        <w:jc w:val="both"/>
        <w:rPr>
          <w:sz w:val="24"/>
          <w:lang w:val="ro-RO"/>
        </w:rPr>
      </w:pPr>
      <w:r w:rsidRPr="008E3D45">
        <w:rPr>
          <w:b/>
          <w:bCs/>
          <w:sz w:val="24"/>
          <w:lang w:val="ro-RO"/>
        </w:rPr>
        <w:t>Blocaje în reacția structurilor de ordine publică</w:t>
      </w:r>
      <w:r w:rsidRPr="00105AE3">
        <w:rPr>
          <w:sz w:val="24"/>
          <w:lang w:val="ro-RO"/>
        </w:rPr>
        <w:t xml:space="preserve">. </w:t>
      </w:r>
      <w:r w:rsidR="00105AE3" w:rsidRPr="00105AE3">
        <w:rPr>
          <w:sz w:val="24"/>
          <w:lang w:val="ro-RO"/>
        </w:rPr>
        <w:t xml:space="preserve">Dacă nu se mărește numărul de echipe de patrulare și reacționare operativă și nu se îmbunătățește dotarea acestora, Poliția va continua să ajungă </w:t>
      </w:r>
      <w:r w:rsidR="00105AE3">
        <w:rPr>
          <w:sz w:val="24"/>
          <w:lang w:val="ro-RO"/>
        </w:rPr>
        <w:t>tardiv</w:t>
      </w:r>
      <w:r w:rsidR="00105AE3" w:rsidRPr="00105AE3">
        <w:rPr>
          <w:sz w:val="24"/>
          <w:lang w:val="ro-RO"/>
        </w:rPr>
        <w:t xml:space="preserve"> la unele apeluri de urgență. În special în zonele rurale, </w:t>
      </w:r>
      <w:r w:rsidR="00105AE3">
        <w:rPr>
          <w:sz w:val="24"/>
          <w:lang w:val="ro-RO"/>
        </w:rPr>
        <w:t>cetățenii</w:t>
      </w:r>
      <w:r w:rsidR="00105AE3" w:rsidRPr="00105AE3">
        <w:rPr>
          <w:sz w:val="24"/>
          <w:lang w:val="ro-RO"/>
        </w:rPr>
        <w:t xml:space="preserve"> riscă să nu primească ajutor la timp, ceea ce poate pune în pericol vi</w:t>
      </w:r>
      <w:r w:rsidR="00105AE3">
        <w:rPr>
          <w:sz w:val="24"/>
          <w:lang w:val="ro-RO"/>
        </w:rPr>
        <w:t xml:space="preserve">ața ți sănătatea cetățenilor precum și </w:t>
      </w:r>
      <w:r w:rsidR="00105AE3" w:rsidRPr="00105AE3">
        <w:rPr>
          <w:sz w:val="24"/>
          <w:lang w:val="ro-RO"/>
        </w:rPr>
        <w:t>bunuri</w:t>
      </w:r>
      <w:r w:rsidR="00105AE3">
        <w:rPr>
          <w:sz w:val="24"/>
          <w:lang w:val="ro-RO"/>
        </w:rPr>
        <w:t>le materiale</w:t>
      </w:r>
      <w:r w:rsidR="00105AE3" w:rsidRPr="00105AE3">
        <w:rPr>
          <w:sz w:val="24"/>
          <w:lang w:val="ro-RO"/>
        </w:rPr>
        <w:t>. Lipsa unei reacții rapide reduce eficiența intervențiilor și încrederea cetățenilor în forțele de ordine.</w:t>
      </w:r>
      <w:r w:rsidR="00105AE3" w:rsidRPr="00105AE3">
        <w:rPr>
          <w:b/>
          <w:bCs/>
          <w:sz w:val="24"/>
          <w:lang w:val="ro-RO"/>
        </w:rPr>
        <w:t xml:space="preserve"> </w:t>
      </w:r>
    </w:p>
    <w:p w14:paraId="571516C5" w14:textId="36DAA3C3" w:rsidR="008E3D45" w:rsidRPr="008E3D45" w:rsidRDefault="008E3D45" w:rsidP="008B0364">
      <w:pPr>
        <w:numPr>
          <w:ilvl w:val="0"/>
          <w:numId w:val="22"/>
        </w:numPr>
        <w:spacing w:after="0"/>
        <w:ind w:left="0" w:firstLine="540"/>
        <w:jc w:val="both"/>
        <w:rPr>
          <w:sz w:val="24"/>
          <w:lang w:val="ro-RO"/>
        </w:rPr>
      </w:pPr>
      <w:r w:rsidRPr="00105AE3">
        <w:rPr>
          <w:b/>
          <w:bCs/>
          <w:sz w:val="24"/>
          <w:lang w:val="ro-RO"/>
        </w:rPr>
        <w:t>Nerealizarea reformei de regionalizare și continuarea unei organizări administrative ineficiente</w:t>
      </w:r>
      <w:r w:rsidRPr="00105AE3">
        <w:rPr>
          <w:sz w:val="24"/>
          <w:lang w:val="ro-RO"/>
        </w:rPr>
        <w:t xml:space="preserve">. </w:t>
      </w:r>
      <w:r w:rsidRPr="008E3D45">
        <w:rPr>
          <w:sz w:val="24"/>
          <w:lang w:val="ro-RO"/>
        </w:rPr>
        <w:t>Fără reorganizarea structurii Poliției, nivelul operațional (primul contact cu cetățeanul) va rămâne subdimensionat, iar suprapunerea funcțiilor administrative va continua să consume resurse ce ar putea fi realocate pentru intervenție directă.</w:t>
      </w:r>
      <w:r w:rsidRPr="00105AE3">
        <w:rPr>
          <w:sz w:val="24"/>
          <w:lang w:val="ro-RO"/>
        </w:rPr>
        <w:t xml:space="preserve"> </w:t>
      </w:r>
      <w:r w:rsidRPr="008E3D45">
        <w:rPr>
          <w:sz w:val="24"/>
          <w:lang w:val="ro-RO"/>
        </w:rPr>
        <w:t>Se va menține o fragmentare a competențelor între IGP și IGC, fără o delimitare clară și funcțională a rolurilor în asigurarea ordinii publice.</w:t>
      </w:r>
    </w:p>
    <w:p w14:paraId="7103D308" w14:textId="550646E5" w:rsidR="008E3D45" w:rsidRPr="008E3D45" w:rsidRDefault="008E3D45" w:rsidP="008E3D45">
      <w:pPr>
        <w:numPr>
          <w:ilvl w:val="0"/>
          <w:numId w:val="22"/>
        </w:numPr>
        <w:spacing w:after="0"/>
        <w:ind w:left="0" w:firstLine="540"/>
        <w:jc w:val="both"/>
        <w:rPr>
          <w:sz w:val="24"/>
          <w:lang w:val="ro-RO"/>
        </w:rPr>
      </w:pPr>
      <w:r w:rsidRPr="008E3D45">
        <w:rPr>
          <w:b/>
          <w:bCs/>
          <w:sz w:val="24"/>
          <w:lang w:val="ro-RO"/>
        </w:rPr>
        <w:t>Persistența discriminării indirecte și a inechităților</w:t>
      </w:r>
      <w:r w:rsidRPr="00105AE3">
        <w:rPr>
          <w:sz w:val="24"/>
          <w:lang w:val="ro-RO"/>
        </w:rPr>
        <w:t xml:space="preserve">. </w:t>
      </w:r>
      <w:r w:rsidR="00105AE3" w:rsidRPr="00105AE3">
        <w:rPr>
          <w:sz w:val="24"/>
          <w:lang w:val="ro-RO"/>
        </w:rPr>
        <w:t xml:space="preserve">Dacă nu se acționează pentru a îmbunătăți modul în care Poliția interacționează cu toți cetățenii, vor continua situațiile în care anumite persoane –persoanele cu dizabilități sau din grupuri vulnerabile – nu vor beneficia de aceleași servicii ca restul populației. Această tratament inegal </w:t>
      </w:r>
      <w:r w:rsidR="00105AE3">
        <w:rPr>
          <w:sz w:val="24"/>
          <w:lang w:val="ro-RO"/>
        </w:rPr>
        <w:t>diminuează</w:t>
      </w:r>
      <w:r w:rsidR="00105AE3" w:rsidRPr="00105AE3">
        <w:rPr>
          <w:sz w:val="24"/>
          <w:lang w:val="ro-RO"/>
        </w:rPr>
        <w:t xml:space="preserve"> încrederea în instituții și poate duce la excluderea unor categorii sociale, ceea ce este contrar principiilor drepturilor omului și angajamentelor internaționale ale Republicii Moldov</w:t>
      </w:r>
      <w:r w:rsidR="00105AE3">
        <w:rPr>
          <w:sz w:val="24"/>
          <w:lang w:val="ro-RO"/>
        </w:rPr>
        <w:t>a</w:t>
      </w:r>
      <w:r w:rsidR="00105AE3" w:rsidRPr="00105AE3">
        <w:rPr>
          <w:sz w:val="24"/>
          <w:lang w:val="ro-RO"/>
        </w:rPr>
        <w:t>.</w:t>
      </w:r>
    </w:p>
    <w:p w14:paraId="6D30F051" w14:textId="40F0374D" w:rsidR="008E3D45" w:rsidRPr="008E3D45" w:rsidRDefault="008E3D45" w:rsidP="00C56EC9">
      <w:pPr>
        <w:numPr>
          <w:ilvl w:val="0"/>
          <w:numId w:val="22"/>
        </w:numPr>
        <w:spacing w:after="0"/>
        <w:ind w:left="0" w:firstLine="540"/>
        <w:jc w:val="both"/>
        <w:rPr>
          <w:sz w:val="24"/>
          <w:lang w:val="ro-RO"/>
        </w:rPr>
      </w:pPr>
      <w:r w:rsidRPr="008E3D45">
        <w:rPr>
          <w:b/>
          <w:bCs/>
          <w:sz w:val="24"/>
          <w:lang w:val="ro-RO"/>
        </w:rPr>
        <w:t>Scăderea capacității instituționale și pierderea personalului calificat</w:t>
      </w:r>
      <w:r w:rsidRPr="008E3D45">
        <w:rPr>
          <w:sz w:val="24"/>
          <w:lang w:val="ro-RO"/>
        </w:rPr>
        <w:t xml:space="preserve">. Dacă nu vor fi luate măsuri pentru motivarea și păstrarea personalului, tot mai mulți angajați cu experiență vor pleca din sistem. </w:t>
      </w:r>
      <w:r w:rsidRPr="008E3D45">
        <w:rPr>
          <w:sz w:val="24"/>
          <w:lang w:val="ro-RO"/>
        </w:rPr>
        <w:lastRenderedPageBreak/>
        <w:t>Aceasta va duce la pierderea cunoștințelor și a rutinei operaționale acumulate în timp. În locul lor vor veni persoane noi, care vor avea nevoie de instruire și timp pentru adaptare. Astfel, instituțiile de ordine publică vor deveni mai sensibile, mai puțin eficiente și mai vulnerabile în fața situațiilor de criză sau a provocărilor din teren.</w:t>
      </w:r>
    </w:p>
    <w:p w14:paraId="38115110" w14:textId="7ED28478" w:rsidR="008E3D45" w:rsidRPr="00477C4A" w:rsidRDefault="008E3D45" w:rsidP="00C56EC9">
      <w:pPr>
        <w:numPr>
          <w:ilvl w:val="0"/>
          <w:numId w:val="22"/>
        </w:numPr>
        <w:spacing w:after="0"/>
        <w:ind w:left="0" w:firstLine="540"/>
        <w:jc w:val="both"/>
        <w:rPr>
          <w:sz w:val="24"/>
          <w:lang w:val="ro-RO"/>
        </w:rPr>
      </w:pPr>
      <w:r w:rsidRPr="008E3D45">
        <w:rPr>
          <w:b/>
          <w:bCs/>
          <w:sz w:val="24"/>
          <w:lang w:val="ro-RO"/>
        </w:rPr>
        <w:t>Întârzierea modernizării și blocaj tehnologic.</w:t>
      </w:r>
      <w:r w:rsidRPr="008E3D45">
        <w:rPr>
          <w:sz w:val="24"/>
          <w:lang w:val="ro-RO"/>
        </w:rPr>
        <w:t xml:space="preserve"> Dacă nu se investește în continuare în echipamente moderne, infrastructură digitală și sisteme inteligente, instituțiile de ordine publică vor continua să lucreze cu tehnologii învechite. Acest lucru va îngreuna intervențiile rapide, va limita comunicarea între echipe și va reduce capacitatea de a preveni și gestiona eficient incidentele. În timp, lipsa modernizării va face ca serviciile oferite populației să fie tot mai puțin eficiente și mai puțin adaptate la noile realități.</w:t>
      </w:r>
    </w:p>
    <w:p w14:paraId="4953E904" w14:textId="77777777" w:rsidR="00477C4A" w:rsidRPr="00477C4A" w:rsidRDefault="00477C4A" w:rsidP="00477C4A">
      <w:pPr>
        <w:spacing w:after="0"/>
        <w:ind w:firstLine="540"/>
        <w:jc w:val="both"/>
        <w:rPr>
          <w:rFonts w:eastAsiaTheme="majorEastAsia" w:cstheme="majorBidi"/>
          <w:color w:val="EE0000"/>
          <w:sz w:val="24"/>
          <w:szCs w:val="24"/>
          <w:lang w:val="ro-RO"/>
        </w:rPr>
      </w:pPr>
    </w:p>
    <w:p w14:paraId="777BF0F0" w14:textId="413A772A" w:rsidR="0056553D" w:rsidRPr="000C6E07" w:rsidRDefault="0056553D" w:rsidP="0056553D">
      <w:pPr>
        <w:pStyle w:val="1"/>
        <w:spacing w:before="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Capitolul III</w:t>
      </w:r>
    </w:p>
    <w:p w14:paraId="68D71062" w14:textId="1882AFD7" w:rsidR="0056553D" w:rsidRPr="000C6E07" w:rsidRDefault="0056553D" w:rsidP="0056553D">
      <w:pPr>
        <w:pStyle w:val="1"/>
        <w:spacing w:before="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 xml:space="preserve">OBIECTIVE </w:t>
      </w:r>
    </w:p>
    <w:p w14:paraId="3D9B176E" w14:textId="77777777" w:rsidR="00F87F75" w:rsidRDefault="0056553D" w:rsidP="00F87F75">
      <w:pPr>
        <w:spacing w:after="0"/>
        <w:ind w:firstLine="540"/>
        <w:jc w:val="both"/>
        <w:rPr>
          <w:sz w:val="24"/>
          <w:szCs w:val="24"/>
          <w:lang w:val="ro-RO"/>
        </w:rPr>
      </w:pPr>
      <w:r w:rsidRPr="000C6E07">
        <w:rPr>
          <w:sz w:val="24"/>
          <w:szCs w:val="24"/>
          <w:lang w:val="ro-RO"/>
        </w:rPr>
        <w:t xml:space="preserve">Obiectivele generale ale Programului derivă din </w:t>
      </w:r>
      <w:bookmarkStart w:id="2" w:name="_Hlk106715805"/>
      <w:r w:rsidRPr="000C6E07">
        <w:rPr>
          <w:sz w:val="24"/>
          <w:szCs w:val="24"/>
          <w:lang w:val="ro-RO"/>
        </w:rPr>
        <w:t xml:space="preserve">Strategia de dezvoltare a domeniului afacerilor interne pentru anii 2022-2030 </w:t>
      </w:r>
      <w:bookmarkEnd w:id="2"/>
      <w:r w:rsidRPr="000C6E07">
        <w:rPr>
          <w:sz w:val="24"/>
          <w:szCs w:val="24"/>
          <w:lang w:val="ro-RO"/>
        </w:rPr>
        <w:t xml:space="preserve">și contribuie direct la realizarea obiectivelor și indicatorilor de evaluare ai Strategiei naționale de dezvoltare „Moldova Europeană </w:t>
      </w:r>
      <w:smartTag w:uri="urn:schemas-microsoft-com:office:smarttags" w:element="metricconverter">
        <w:smartTagPr>
          <w:attr w:name="ProductID" w:val="2030”"/>
        </w:smartTagPr>
        <w:r w:rsidRPr="000C6E07">
          <w:rPr>
            <w:sz w:val="24"/>
            <w:szCs w:val="24"/>
            <w:lang w:val="ro-RO"/>
          </w:rPr>
          <w:t>2030”</w:t>
        </w:r>
      </w:smartTag>
      <w:r w:rsidRPr="000C6E07">
        <w:rPr>
          <w:sz w:val="24"/>
          <w:szCs w:val="24"/>
          <w:lang w:val="ro-RO"/>
        </w:rPr>
        <w:t>, fiind următoarele.</w:t>
      </w:r>
    </w:p>
    <w:p w14:paraId="23A18368" w14:textId="01DEBB12" w:rsidR="004F0FBF" w:rsidRPr="00F87F75" w:rsidRDefault="00F32FA7" w:rsidP="00F87F75">
      <w:pPr>
        <w:spacing w:after="0"/>
        <w:ind w:firstLine="540"/>
        <w:jc w:val="both"/>
        <w:rPr>
          <w:sz w:val="24"/>
          <w:szCs w:val="24"/>
          <w:lang w:val="ro-RO"/>
        </w:rPr>
      </w:pPr>
      <w:r w:rsidRPr="003679EA">
        <w:rPr>
          <w:b/>
          <w:sz w:val="24"/>
          <w:szCs w:val="24"/>
          <w:lang w:val="ro-RO"/>
        </w:rPr>
        <w:t xml:space="preserve">Obiectivul general 1. </w:t>
      </w:r>
      <w:r w:rsidRPr="003679EA">
        <w:rPr>
          <w:sz w:val="24"/>
          <w:szCs w:val="24"/>
          <w:lang w:val="ro-RO"/>
        </w:rPr>
        <w:t>Siguranță sporită a populației la domiciliu, în comunitate și în spațiile publice</w:t>
      </w:r>
      <w:r w:rsidR="00F87F75">
        <w:rPr>
          <w:sz w:val="24"/>
          <w:szCs w:val="24"/>
          <w:lang w:val="ro-RO"/>
        </w:rPr>
        <w:t>.</w:t>
      </w:r>
      <w:r w:rsidRPr="003679EA">
        <w:rPr>
          <w:sz w:val="24"/>
          <w:szCs w:val="24"/>
          <w:lang w:val="ro-RO"/>
        </w:rPr>
        <w:t xml:space="preserve"> </w:t>
      </w:r>
    </w:p>
    <w:p w14:paraId="3BD439B6" w14:textId="18731445" w:rsidR="004F0FBF" w:rsidRDefault="004F0FBF" w:rsidP="006F318D">
      <w:pPr>
        <w:spacing w:after="0"/>
        <w:ind w:firstLine="540"/>
        <w:jc w:val="both"/>
        <w:rPr>
          <w:sz w:val="24"/>
          <w:szCs w:val="24"/>
          <w:lang w:val="ro-RO"/>
        </w:rPr>
      </w:pPr>
      <w:r w:rsidRPr="004F0FBF">
        <w:rPr>
          <w:sz w:val="24"/>
          <w:szCs w:val="24"/>
          <w:lang w:val="ro-RO"/>
        </w:rPr>
        <w:t xml:space="preserve">Corespunzător, în vederea atingerii Obiectivului general stabilit, Programul își propune </w:t>
      </w:r>
      <w:r>
        <w:rPr>
          <w:sz w:val="24"/>
          <w:szCs w:val="24"/>
          <w:lang w:val="ro-RO"/>
        </w:rPr>
        <w:t>6</w:t>
      </w:r>
      <w:r w:rsidRPr="004F0FBF">
        <w:rPr>
          <w:sz w:val="24"/>
          <w:szCs w:val="24"/>
          <w:lang w:val="ro-RO"/>
        </w:rPr>
        <w:t xml:space="preserve"> obiective specifice, care vor contribui la implementarea cu succes a activităților planificate în domeniul de referință.</w:t>
      </w:r>
    </w:p>
    <w:p w14:paraId="41A7D136" w14:textId="29798CE4" w:rsidR="004F0FBF" w:rsidRPr="004F0FBF" w:rsidRDefault="004F0FBF" w:rsidP="006F318D">
      <w:pPr>
        <w:spacing w:after="0"/>
        <w:ind w:firstLine="540"/>
        <w:jc w:val="both"/>
        <w:rPr>
          <w:bCs/>
          <w:sz w:val="24"/>
          <w:szCs w:val="24"/>
          <w:lang w:val="ro-RO"/>
        </w:rPr>
      </w:pPr>
      <w:r w:rsidRPr="006F318D">
        <w:rPr>
          <w:b/>
          <w:sz w:val="24"/>
          <w:szCs w:val="24"/>
          <w:lang w:val="ro-RO"/>
        </w:rPr>
        <w:t>Obiectivul specific 1.1.</w:t>
      </w:r>
      <w:r w:rsidRPr="006F318D">
        <w:rPr>
          <w:bCs/>
          <w:sz w:val="24"/>
          <w:szCs w:val="24"/>
          <w:lang w:val="ro-RO"/>
        </w:rPr>
        <w:t xml:space="preserve"> Răspuns profesionist, eficient și rapid asigurat la provocările specifice  până în anul 2030</w:t>
      </w:r>
      <w:r w:rsidR="006F318D">
        <w:rPr>
          <w:bCs/>
          <w:sz w:val="24"/>
          <w:szCs w:val="24"/>
          <w:lang w:val="ro-RO"/>
        </w:rPr>
        <w:t>.</w:t>
      </w:r>
    </w:p>
    <w:p w14:paraId="1FADE821" w14:textId="258A573C" w:rsidR="004F0FBF" w:rsidRPr="006F318D" w:rsidRDefault="006F318D" w:rsidP="006F318D">
      <w:pPr>
        <w:spacing w:after="0"/>
        <w:ind w:firstLine="540"/>
        <w:jc w:val="both"/>
        <w:rPr>
          <w:bCs/>
          <w:sz w:val="24"/>
          <w:szCs w:val="24"/>
          <w:lang w:val="ro-RO"/>
        </w:rPr>
      </w:pPr>
      <w:r w:rsidRPr="006F318D">
        <w:rPr>
          <w:b/>
          <w:sz w:val="24"/>
          <w:szCs w:val="24"/>
          <w:lang w:val="ro-RO"/>
        </w:rPr>
        <w:t>Obiectivul specific 1.2.</w:t>
      </w:r>
      <w:r w:rsidRPr="006F318D">
        <w:rPr>
          <w:rFonts w:eastAsia="Calibri"/>
          <w:b/>
          <w:sz w:val="20"/>
          <w:szCs w:val="20"/>
          <w:lang w:val="ro-RO" w:eastAsia="ru-RU"/>
        </w:rPr>
        <w:t xml:space="preserve"> </w:t>
      </w:r>
      <w:r w:rsidRPr="006F318D">
        <w:rPr>
          <w:bCs/>
          <w:sz w:val="24"/>
          <w:szCs w:val="24"/>
          <w:lang w:val="ro-RO"/>
        </w:rPr>
        <w:t>Surse de date integrate și dezvoltate pentru a genera informații cu valoare adăugată, care vor servi drept suport la</w:t>
      </w:r>
      <w:r w:rsidRPr="006F318D">
        <w:rPr>
          <w:rFonts w:eastAsia="Calibri"/>
          <w:bCs/>
          <w:sz w:val="20"/>
          <w:szCs w:val="20"/>
          <w:lang w:val="ro-RO" w:eastAsia="ru-RU"/>
        </w:rPr>
        <w:t xml:space="preserve"> </w:t>
      </w:r>
      <w:r w:rsidRPr="006F318D">
        <w:rPr>
          <w:bCs/>
          <w:sz w:val="24"/>
          <w:szCs w:val="24"/>
          <w:lang w:val="ro-RO"/>
        </w:rPr>
        <w:t>luarea deciziilor până în anul 2030</w:t>
      </w:r>
      <w:r>
        <w:rPr>
          <w:bCs/>
          <w:sz w:val="24"/>
          <w:szCs w:val="24"/>
          <w:lang w:val="ro-RO"/>
        </w:rPr>
        <w:t>.</w:t>
      </w:r>
    </w:p>
    <w:p w14:paraId="7285753B" w14:textId="31510ED6" w:rsidR="006F318D" w:rsidRPr="006F318D" w:rsidRDefault="006F318D" w:rsidP="006F318D">
      <w:pPr>
        <w:spacing w:after="0"/>
        <w:ind w:firstLine="540"/>
        <w:jc w:val="both"/>
        <w:rPr>
          <w:bCs/>
          <w:sz w:val="24"/>
          <w:szCs w:val="24"/>
          <w:lang w:val="ro-RO"/>
        </w:rPr>
      </w:pPr>
      <w:r w:rsidRPr="006F318D">
        <w:rPr>
          <w:b/>
          <w:sz w:val="24"/>
          <w:szCs w:val="24"/>
          <w:lang w:val="ro-RO"/>
        </w:rPr>
        <w:t>Obiectivul specific 1.3.</w:t>
      </w:r>
      <w:r w:rsidRPr="006F318D">
        <w:rPr>
          <w:bCs/>
        </w:rPr>
        <w:t xml:space="preserve"> </w:t>
      </w:r>
      <w:r w:rsidRPr="006F318D">
        <w:rPr>
          <w:bCs/>
          <w:sz w:val="24"/>
          <w:szCs w:val="24"/>
          <w:lang w:val="ro-RO"/>
        </w:rPr>
        <w:t>Conceptul de activitate polițienească comunitară extins în cazul a  100% din  sectoarele de poliție până în anul 2030</w:t>
      </w:r>
      <w:r>
        <w:rPr>
          <w:bCs/>
          <w:sz w:val="24"/>
          <w:szCs w:val="24"/>
          <w:lang w:val="ro-RO"/>
        </w:rPr>
        <w:t>.</w:t>
      </w:r>
    </w:p>
    <w:p w14:paraId="5C4166A4" w14:textId="349E2B79" w:rsidR="006F318D" w:rsidRPr="006F318D" w:rsidRDefault="006F318D" w:rsidP="006F318D">
      <w:pPr>
        <w:spacing w:after="0"/>
        <w:ind w:firstLine="540"/>
        <w:jc w:val="both"/>
        <w:rPr>
          <w:bCs/>
          <w:sz w:val="24"/>
          <w:szCs w:val="24"/>
          <w:lang w:val="ro-RO"/>
        </w:rPr>
      </w:pPr>
      <w:r w:rsidRPr="006F318D">
        <w:rPr>
          <w:b/>
          <w:sz w:val="24"/>
          <w:szCs w:val="24"/>
          <w:lang w:val="ro-RO"/>
        </w:rPr>
        <w:t>Obiectivul specific 1.4.</w:t>
      </w:r>
      <w:r w:rsidRPr="006F318D">
        <w:rPr>
          <w:bCs/>
        </w:rPr>
        <w:t xml:space="preserve"> </w:t>
      </w:r>
      <w:r w:rsidRPr="006F318D">
        <w:rPr>
          <w:bCs/>
          <w:sz w:val="24"/>
          <w:szCs w:val="24"/>
          <w:lang w:val="ro-RO"/>
        </w:rPr>
        <w:t>Capacitatea îmbunătățită de reacționare rapidă a serviciilor de ordine și securitate publică până în anul 2030</w:t>
      </w:r>
      <w:r>
        <w:rPr>
          <w:bCs/>
          <w:sz w:val="24"/>
          <w:szCs w:val="24"/>
          <w:lang w:val="ro-RO"/>
        </w:rPr>
        <w:t>.</w:t>
      </w:r>
    </w:p>
    <w:p w14:paraId="626A48E6" w14:textId="3A668CBB" w:rsidR="006F318D" w:rsidRPr="006F318D" w:rsidRDefault="006F318D" w:rsidP="006F318D">
      <w:pPr>
        <w:spacing w:after="0"/>
        <w:ind w:firstLine="540"/>
        <w:jc w:val="both"/>
        <w:rPr>
          <w:bCs/>
          <w:sz w:val="24"/>
          <w:szCs w:val="24"/>
          <w:lang w:val="ro-RO"/>
        </w:rPr>
      </w:pPr>
      <w:r w:rsidRPr="006F318D">
        <w:rPr>
          <w:b/>
          <w:sz w:val="24"/>
          <w:szCs w:val="24"/>
          <w:lang w:val="ro-RO"/>
        </w:rPr>
        <w:t>Obiectivul specific 1.5.</w:t>
      </w:r>
      <w:r w:rsidRPr="006F318D">
        <w:rPr>
          <w:bCs/>
        </w:rPr>
        <w:t xml:space="preserve"> </w:t>
      </w:r>
      <w:r w:rsidRPr="006F318D">
        <w:rPr>
          <w:bCs/>
          <w:sz w:val="24"/>
          <w:szCs w:val="24"/>
          <w:lang w:val="ro-RO"/>
        </w:rPr>
        <w:t>Infrastructură și dotări ale  serviciilor de ordine și securitate publică în zona de securitate modernizate până în anul 2030</w:t>
      </w:r>
      <w:r>
        <w:rPr>
          <w:bCs/>
          <w:sz w:val="24"/>
          <w:szCs w:val="24"/>
          <w:lang w:val="ro-RO"/>
        </w:rPr>
        <w:t>.</w:t>
      </w:r>
    </w:p>
    <w:p w14:paraId="3A007466" w14:textId="0AEF8FC8" w:rsidR="006F318D" w:rsidRPr="006F318D" w:rsidRDefault="006F318D" w:rsidP="006F318D">
      <w:pPr>
        <w:spacing w:after="0"/>
        <w:ind w:firstLine="540"/>
        <w:jc w:val="both"/>
        <w:rPr>
          <w:bCs/>
          <w:sz w:val="24"/>
          <w:szCs w:val="24"/>
          <w:lang w:val="ro-RO"/>
        </w:rPr>
      </w:pPr>
      <w:r w:rsidRPr="006F318D">
        <w:rPr>
          <w:b/>
          <w:sz w:val="24"/>
          <w:szCs w:val="24"/>
          <w:lang w:val="ro-RO"/>
        </w:rPr>
        <w:t>Obiectivul specific 1.6.</w:t>
      </w:r>
      <w:r w:rsidRPr="006F318D">
        <w:rPr>
          <w:b/>
        </w:rPr>
        <w:t xml:space="preserve"> </w:t>
      </w:r>
      <w:r w:rsidRPr="006F318D">
        <w:rPr>
          <w:bCs/>
          <w:sz w:val="24"/>
          <w:szCs w:val="24"/>
          <w:lang w:val="ro-RO"/>
        </w:rPr>
        <w:t>Protecția și reziliența infrastructurilor critice naționale și a entităților critice, asigurată în conformitate cu standardele Uniunii Europene, până în anul 2030</w:t>
      </w:r>
      <w:r>
        <w:rPr>
          <w:bCs/>
          <w:sz w:val="24"/>
          <w:szCs w:val="24"/>
          <w:lang w:val="ro-RO"/>
        </w:rPr>
        <w:t>.</w:t>
      </w:r>
    </w:p>
    <w:p w14:paraId="56887BB7" w14:textId="063AFAA3" w:rsidR="0056553D" w:rsidRPr="000C6E07" w:rsidRDefault="0056553D" w:rsidP="006F318D">
      <w:pPr>
        <w:spacing w:after="0"/>
        <w:ind w:firstLine="540"/>
        <w:jc w:val="both"/>
        <w:rPr>
          <w:sz w:val="24"/>
          <w:szCs w:val="24"/>
          <w:lang w:val="ro-RO"/>
        </w:rPr>
      </w:pPr>
      <w:r w:rsidRPr="000C6E07">
        <w:rPr>
          <w:sz w:val="24"/>
          <w:szCs w:val="24"/>
          <w:lang w:val="ro-RO"/>
        </w:rPr>
        <w:t xml:space="preserve">Realizarea acestui obiectiv va contribui la atingerea unor rezultate tangibile, orientate asupra societății, prin sporirea percepției de siguranță generală în țară și creșterea nivelului de încredere al societății în Poliție. Esențială va fi și contribuția în diminuarea numărului persoanelor din grupurile vulnerabile care nu se simt în siguranță în locurile publice.  În esență, la prima etapă de implementare va fi asigurată creșterea numărului de echipe de patrulare și reacționare operativă pentru garantarea unui răspuns prompt tuturor apelurilor de urgență. Un alt pas va fi integrarea și dezvoltarea surselor de date, care vor servi drept suport la luarea deciziilor, în baza unor produse analitice, confirmate de evoluțiile ce au loc la nivel teritorial. </w:t>
      </w:r>
    </w:p>
    <w:p w14:paraId="117C619F" w14:textId="77777777" w:rsidR="00F87F75" w:rsidRDefault="0056553D" w:rsidP="00F87F75">
      <w:pPr>
        <w:spacing w:after="0"/>
        <w:ind w:firstLine="540"/>
        <w:jc w:val="both"/>
        <w:rPr>
          <w:sz w:val="24"/>
          <w:szCs w:val="24"/>
          <w:lang w:val="ro-RO"/>
        </w:rPr>
      </w:pPr>
      <w:r w:rsidRPr="000C6E07">
        <w:rPr>
          <w:sz w:val="24"/>
          <w:szCs w:val="24"/>
          <w:lang w:val="ro-RO"/>
        </w:rPr>
        <w:t>Totodată, va continua implementarea și se va asigura extinderea conceptului de activitate polițienească comunitară, pentru diminuarea ratei infracțiunilor ce atentează la viața și sănătatea persoanei, inclusiv a celor comise în sfera relațiilor familiale.</w:t>
      </w:r>
    </w:p>
    <w:p w14:paraId="0F524D01" w14:textId="6BB9BBEB" w:rsidR="0056553D" w:rsidRPr="00F87F75" w:rsidRDefault="008A243D" w:rsidP="00F87F75">
      <w:pPr>
        <w:spacing w:after="0"/>
        <w:ind w:firstLine="540"/>
        <w:jc w:val="both"/>
        <w:rPr>
          <w:sz w:val="24"/>
          <w:szCs w:val="24"/>
          <w:lang w:val="ro-RO"/>
        </w:rPr>
      </w:pPr>
      <w:r>
        <w:rPr>
          <w:b/>
          <w:sz w:val="24"/>
          <w:szCs w:val="24"/>
          <w:lang w:val="ro-RO"/>
        </w:rPr>
        <w:t>Obiectivul general</w:t>
      </w:r>
      <w:r w:rsidR="00F32FA7" w:rsidRPr="008A243D">
        <w:rPr>
          <w:b/>
          <w:sz w:val="24"/>
          <w:szCs w:val="24"/>
          <w:lang w:val="ro-RO"/>
        </w:rPr>
        <w:t xml:space="preserve"> 2.</w:t>
      </w:r>
      <w:r w:rsidR="00F32FA7" w:rsidRPr="008A243D">
        <w:rPr>
          <w:sz w:val="24"/>
          <w:szCs w:val="24"/>
          <w:lang w:val="ro-RO"/>
        </w:rPr>
        <w:t xml:space="preserve"> Serviciile de ordine și securitate publică aliniate </w:t>
      </w:r>
      <w:r w:rsidR="00F32FA7" w:rsidRPr="008A243D">
        <w:rPr>
          <w:color w:val="000000" w:themeColor="text1"/>
          <w:sz w:val="24"/>
          <w:szCs w:val="24"/>
          <w:lang w:val="ro-RO"/>
        </w:rPr>
        <w:t xml:space="preserve">la principiile </w:t>
      </w:r>
      <w:r w:rsidR="00F32FA7" w:rsidRPr="008A243D">
        <w:rPr>
          <w:sz w:val="24"/>
          <w:szCs w:val="24"/>
          <w:lang w:val="ro-RO"/>
        </w:rPr>
        <w:t>drepturilor omului</w:t>
      </w:r>
      <w:r w:rsidR="0056553D" w:rsidRPr="008A243D">
        <w:rPr>
          <w:rFonts w:eastAsia="Calibri"/>
          <w:sz w:val="24"/>
          <w:szCs w:val="24"/>
          <w:lang w:val="ro-RO"/>
        </w:rPr>
        <w:t xml:space="preserve"> </w:t>
      </w:r>
      <w:r w:rsidR="00F87F75">
        <w:rPr>
          <w:rFonts w:eastAsia="Calibri"/>
          <w:sz w:val="24"/>
          <w:szCs w:val="24"/>
          <w:lang w:val="ro-RO"/>
        </w:rPr>
        <w:t>.</w:t>
      </w:r>
    </w:p>
    <w:p w14:paraId="207CD96A" w14:textId="6B15DF46" w:rsidR="006F318D" w:rsidRPr="006F318D" w:rsidRDefault="006F318D" w:rsidP="006F318D">
      <w:pPr>
        <w:spacing w:after="0"/>
        <w:ind w:firstLine="540"/>
        <w:jc w:val="both"/>
        <w:rPr>
          <w:sz w:val="24"/>
          <w:szCs w:val="24"/>
          <w:lang w:val="ro-RO"/>
        </w:rPr>
      </w:pPr>
      <w:r w:rsidRPr="006F318D">
        <w:rPr>
          <w:sz w:val="24"/>
          <w:szCs w:val="24"/>
          <w:lang w:val="ro-RO"/>
        </w:rPr>
        <w:t xml:space="preserve">Corespunzător, în vederea atingerii Obiectivului general stabilit, Programul își propune </w:t>
      </w:r>
      <w:r>
        <w:rPr>
          <w:sz w:val="24"/>
          <w:szCs w:val="24"/>
          <w:lang w:val="ro-RO"/>
        </w:rPr>
        <w:t>2</w:t>
      </w:r>
      <w:r w:rsidRPr="006F318D">
        <w:rPr>
          <w:sz w:val="24"/>
          <w:szCs w:val="24"/>
          <w:lang w:val="ro-RO"/>
        </w:rPr>
        <w:t xml:space="preserve"> obiective specifice, care vor contribui la implementarea cu succes a activităților planificate în domeniul de referință.</w:t>
      </w:r>
    </w:p>
    <w:p w14:paraId="4D8FCB73" w14:textId="29F74519" w:rsidR="006F318D" w:rsidRDefault="006F318D" w:rsidP="006F318D">
      <w:pPr>
        <w:spacing w:after="0"/>
        <w:ind w:firstLine="540"/>
        <w:jc w:val="both"/>
        <w:rPr>
          <w:b/>
          <w:sz w:val="24"/>
          <w:szCs w:val="24"/>
          <w:lang w:val="ro-RO"/>
        </w:rPr>
      </w:pPr>
      <w:r w:rsidRPr="006F318D">
        <w:rPr>
          <w:b/>
          <w:sz w:val="24"/>
          <w:szCs w:val="24"/>
          <w:lang w:val="ro-RO"/>
        </w:rPr>
        <w:t xml:space="preserve">Obiectivul specific </w:t>
      </w:r>
      <w:r>
        <w:rPr>
          <w:b/>
          <w:sz w:val="24"/>
          <w:szCs w:val="24"/>
          <w:lang w:val="ro-RO"/>
        </w:rPr>
        <w:t>2</w:t>
      </w:r>
      <w:r w:rsidRPr="006F318D">
        <w:rPr>
          <w:b/>
          <w:sz w:val="24"/>
          <w:szCs w:val="24"/>
          <w:lang w:val="ro-RO"/>
        </w:rPr>
        <w:t>.</w:t>
      </w:r>
      <w:r>
        <w:rPr>
          <w:b/>
          <w:sz w:val="24"/>
          <w:szCs w:val="24"/>
          <w:lang w:val="ro-RO"/>
        </w:rPr>
        <w:t>1</w:t>
      </w:r>
      <w:r w:rsidRPr="006F318D">
        <w:rPr>
          <w:b/>
          <w:sz w:val="24"/>
          <w:szCs w:val="24"/>
          <w:lang w:val="ro-RO"/>
        </w:rPr>
        <w:t>.</w:t>
      </w:r>
      <w:r w:rsidRPr="006F318D">
        <w:t xml:space="preserve"> </w:t>
      </w:r>
      <w:r w:rsidRPr="006F318D">
        <w:rPr>
          <w:bCs/>
          <w:sz w:val="24"/>
          <w:szCs w:val="24"/>
          <w:lang w:val="ro-RO"/>
        </w:rPr>
        <w:t>Condițiile de prestare a serviciilor de ordine și securitate publică aliniate la standardele drepturilor omului până în anul 2030</w:t>
      </w:r>
      <w:r>
        <w:rPr>
          <w:bCs/>
          <w:sz w:val="24"/>
          <w:szCs w:val="24"/>
          <w:lang w:val="ro-RO"/>
        </w:rPr>
        <w:t>.</w:t>
      </w:r>
    </w:p>
    <w:p w14:paraId="715672D0" w14:textId="4123649C" w:rsidR="006F318D" w:rsidRPr="006F318D" w:rsidRDefault="006F318D" w:rsidP="006F318D">
      <w:pPr>
        <w:spacing w:after="0"/>
        <w:ind w:firstLine="540"/>
        <w:jc w:val="both"/>
        <w:rPr>
          <w:b/>
          <w:sz w:val="24"/>
          <w:szCs w:val="24"/>
          <w:lang w:val="ro-RO"/>
        </w:rPr>
      </w:pPr>
      <w:r w:rsidRPr="006F318D">
        <w:rPr>
          <w:b/>
          <w:sz w:val="24"/>
          <w:szCs w:val="24"/>
          <w:lang w:val="ro-RO"/>
        </w:rPr>
        <w:t xml:space="preserve">Obiectivul specific </w:t>
      </w:r>
      <w:r>
        <w:rPr>
          <w:b/>
          <w:sz w:val="24"/>
          <w:szCs w:val="24"/>
          <w:lang w:val="ro-RO"/>
        </w:rPr>
        <w:t>2</w:t>
      </w:r>
      <w:r w:rsidRPr="006F318D">
        <w:rPr>
          <w:b/>
          <w:sz w:val="24"/>
          <w:szCs w:val="24"/>
          <w:lang w:val="ro-RO"/>
        </w:rPr>
        <w:t>.</w:t>
      </w:r>
      <w:r>
        <w:rPr>
          <w:b/>
          <w:sz w:val="24"/>
          <w:szCs w:val="24"/>
          <w:lang w:val="ro-RO"/>
        </w:rPr>
        <w:t>2</w:t>
      </w:r>
      <w:r w:rsidRPr="006F318D">
        <w:rPr>
          <w:b/>
          <w:sz w:val="24"/>
          <w:szCs w:val="24"/>
          <w:lang w:val="ro-RO"/>
        </w:rPr>
        <w:t>.</w:t>
      </w:r>
      <w:r w:rsidRPr="006F318D">
        <w:t xml:space="preserve"> </w:t>
      </w:r>
      <w:r w:rsidRPr="006F318D">
        <w:rPr>
          <w:bCs/>
          <w:sz w:val="24"/>
          <w:szCs w:val="24"/>
          <w:lang w:val="ro-RO"/>
        </w:rPr>
        <w:t>Capabilități integrate ale forțelor de ordine de intervenție la evenimente publice, dezvoltate cu respectarea drepturilor omului, până în anul 2030</w:t>
      </w:r>
      <w:r>
        <w:rPr>
          <w:bCs/>
          <w:sz w:val="24"/>
          <w:szCs w:val="24"/>
          <w:lang w:val="ro-RO"/>
        </w:rPr>
        <w:t>.</w:t>
      </w:r>
    </w:p>
    <w:p w14:paraId="714293BC" w14:textId="1358B7CC" w:rsidR="0056553D" w:rsidRPr="000C6E07" w:rsidRDefault="0056553D" w:rsidP="006F318D">
      <w:pPr>
        <w:spacing w:after="0"/>
        <w:ind w:firstLine="540"/>
        <w:jc w:val="both"/>
        <w:rPr>
          <w:sz w:val="24"/>
          <w:szCs w:val="24"/>
          <w:lang w:val="ro-RO"/>
        </w:rPr>
      </w:pPr>
      <w:r w:rsidRPr="000C6E07">
        <w:rPr>
          <w:sz w:val="24"/>
          <w:szCs w:val="24"/>
          <w:lang w:val="ro-RO"/>
        </w:rPr>
        <w:t xml:space="preserve">Asigurarea respectării drepturilor omului și a libertăților fundamentale reprezintă o prioritate-cheie pentru autoritățile din cadrul sistemului afacerilor interne. În acest context, obiectivul va proiecta soluții și rezultate direcționate spre diminuarea cazurilor de tortură, tratamente inumane și degradante, exces de </w:t>
      </w:r>
      <w:r w:rsidRPr="000C6E07">
        <w:rPr>
          <w:sz w:val="24"/>
          <w:szCs w:val="24"/>
          <w:lang w:val="ro-RO"/>
        </w:rPr>
        <w:lastRenderedPageBreak/>
        <w:t xml:space="preserve">putere sau depășirea atribuțiilor de serviciu, vătămare intenționată a integrității corporale sau a sănătății, constrângerea de a face declarații și privațiunea ilegală de libertate. </w:t>
      </w:r>
    </w:p>
    <w:p w14:paraId="222A7FA5" w14:textId="77777777" w:rsidR="0056553D" w:rsidRPr="000C6E07" w:rsidRDefault="0056553D" w:rsidP="006F318D">
      <w:pPr>
        <w:spacing w:after="0"/>
        <w:ind w:firstLine="540"/>
        <w:jc w:val="both"/>
        <w:rPr>
          <w:sz w:val="24"/>
          <w:szCs w:val="24"/>
          <w:lang w:val="ro-RO"/>
        </w:rPr>
      </w:pPr>
      <w:r w:rsidRPr="000C6E07">
        <w:rPr>
          <w:sz w:val="24"/>
          <w:szCs w:val="24"/>
          <w:lang w:val="ro-RO"/>
        </w:rPr>
        <w:t xml:space="preserve">Totodată, vor fi evaluate și ajustate cadrul normativ, precum și procesele pentru conformarea condițiilor, procedurilor și practicilor din sistemul Ministerului Afacerilor Interne la standardele internaționale privind aplicarea măsurilor privative și </w:t>
      </w:r>
      <w:proofErr w:type="spellStart"/>
      <w:r w:rsidRPr="000C6E07">
        <w:rPr>
          <w:sz w:val="24"/>
          <w:szCs w:val="24"/>
          <w:lang w:val="ro-RO"/>
        </w:rPr>
        <w:t>nonprivative</w:t>
      </w:r>
      <w:proofErr w:type="spellEnd"/>
      <w:r w:rsidRPr="000C6E07">
        <w:rPr>
          <w:sz w:val="24"/>
          <w:szCs w:val="24"/>
          <w:lang w:val="ro-RO"/>
        </w:rPr>
        <w:t xml:space="preserve"> de libertate. Vor fi create condiții și asigurată garantarea respectării drepturilor persoanelor în cadrul procedurilor desfășurate de Poliție.</w:t>
      </w:r>
    </w:p>
    <w:p w14:paraId="229AC12A" w14:textId="77777777" w:rsidR="003679EA" w:rsidRDefault="003679EA" w:rsidP="003679EA">
      <w:pPr>
        <w:rPr>
          <w:lang w:val="ro-RO"/>
        </w:rPr>
      </w:pPr>
    </w:p>
    <w:p w14:paraId="536FA998" w14:textId="7BDAF208" w:rsidR="0056553D" w:rsidRPr="000C6E07" w:rsidRDefault="0056553D" w:rsidP="006A2852">
      <w:pPr>
        <w:pStyle w:val="1"/>
        <w:spacing w:before="0"/>
        <w:ind w:firstLine="54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t>Capitolul IV</w:t>
      </w:r>
    </w:p>
    <w:p w14:paraId="512EA24C" w14:textId="5DD96810" w:rsidR="0056553D" w:rsidRDefault="006F318D" w:rsidP="005349DF">
      <w:pPr>
        <w:spacing w:after="0"/>
        <w:ind w:firstLine="540"/>
        <w:jc w:val="center"/>
        <w:rPr>
          <w:rFonts w:eastAsiaTheme="majorEastAsia" w:cstheme="majorBidi"/>
          <w:b/>
          <w:sz w:val="24"/>
          <w:szCs w:val="24"/>
          <w:lang w:val="ro-RO"/>
        </w:rPr>
      </w:pPr>
      <w:r w:rsidRPr="006F318D">
        <w:rPr>
          <w:rFonts w:eastAsiaTheme="majorEastAsia" w:cstheme="majorBidi"/>
          <w:b/>
          <w:sz w:val="24"/>
          <w:szCs w:val="24"/>
          <w:lang w:val="ro-RO"/>
        </w:rPr>
        <w:t>INDICATORI DE MONITORIZARE</w:t>
      </w:r>
    </w:p>
    <w:p w14:paraId="7EA68AC4" w14:textId="77777777" w:rsidR="005349DF" w:rsidRPr="005349DF" w:rsidRDefault="005349DF" w:rsidP="005349DF">
      <w:pPr>
        <w:spacing w:after="0"/>
        <w:ind w:firstLine="540"/>
        <w:jc w:val="center"/>
        <w:rPr>
          <w:rFonts w:eastAsiaTheme="majorEastAsia" w:cstheme="majorBidi"/>
          <w:b/>
          <w:sz w:val="24"/>
          <w:szCs w:val="24"/>
          <w:lang w:val="ro-RO"/>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93"/>
        <w:gridCol w:w="2962"/>
        <w:gridCol w:w="1521"/>
        <w:gridCol w:w="1338"/>
        <w:gridCol w:w="985"/>
      </w:tblGrid>
      <w:tr w:rsidR="00D72FE0" w:rsidRPr="000C6E07" w14:paraId="4CD87D12" w14:textId="77777777" w:rsidTr="00E00CE9">
        <w:tc>
          <w:tcPr>
            <w:tcW w:w="339" w:type="pct"/>
            <w:vAlign w:val="center"/>
          </w:tcPr>
          <w:p w14:paraId="051514D4" w14:textId="77777777" w:rsidR="00D72FE0" w:rsidRPr="000C6E07" w:rsidRDefault="00D72FE0" w:rsidP="00060454">
            <w:pPr>
              <w:spacing w:after="0"/>
              <w:jc w:val="center"/>
              <w:rPr>
                <w:b/>
                <w:sz w:val="20"/>
                <w:szCs w:val="20"/>
                <w:lang w:val="ro-RO" w:eastAsia="ru-RU"/>
              </w:rPr>
            </w:pPr>
            <w:r w:rsidRPr="000C6E07">
              <w:rPr>
                <w:b/>
                <w:sz w:val="20"/>
                <w:szCs w:val="20"/>
                <w:lang w:val="ro-RO" w:eastAsia="ru-RU"/>
              </w:rPr>
              <w:t>Nr.</w:t>
            </w:r>
          </w:p>
          <w:p w14:paraId="14CCCCFB" w14:textId="77777777" w:rsidR="00D72FE0" w:rsidRPr="000C6E07" w:rsidRDefault="00D72FE0" w:rsidP="00060454">
            <w:pPr>
              <w:spacing w:after="0"/>
              <w:jc w:val="center"/>
              <w:rPr>
                <w:b/>
                <w:sz w:val="20"/>
                <w:szCs w:val="20"/>
                <w:lang w:val="ro-RO" w:eastAsia="ru-RU"/>
              </w:rPr>
            </w:pPr>
            <w:r w:rsidRPr="000C6E07">
              <w:rPr>
                <w:b/>
                <w:sz w:val="20"/>
                <w:szCs w:val="20"/>
                <w:lang w:val="ro-RO" w:eastAsia="ru-RU"/>
              </w:rPr>
              <w:t>crt.</w:t>
            </w:r>
          </w:p>
        </w:tc>
        <w:tc>
          <w:tcPr>
            <w:tcW w:w="1331" w:type="pct"/>
            <w:vAlign w:val="center"/>
          </w:tcPr>
          <w:p w14:paraId="0FE062FF" w14:textId="29981C95" w:rsidR="00D72FE0" w:rsidRPr="000C6E07" w:rsidRDefault="00D72FE0" w:rsidP="00060454">
            <w:pPr>
              <w:spacing w:after="0"/>
              <w:jc w:val="both"/>
              <w:rPr>
                <w:b/>
                <w:sz w:val="20"/>
                <w:szCs w:val="20"/>
                <w:lang w:val="ro-RO" w:eastAsia="ru-RU"/>
              </w:rPr>
            </w:pPr>
            <w:r>
              <w:rPr>
                <w:b/>
                <w:sz w:val="20"/>
                <w:szCs w:val="20"/>
                <w:lang w:val="ro-RO" w:eastAsia="ru-RU"/>
              </w:rPr>
              <w:t>Obiective</w:t>
            </w:r>
          </w:p>
        </w:tc>
        <w:tc>
          <w:tcPr>
            <w:tcW w:w="1463" w:type="pct"/>
            <w:vAlign w:val="center"/>
          </w:tcPr>
          <w:p w14:paraId="2E4291C0" w14:textId="698CA61B" w:rsidR="00D72FE0" w:rsidRPr="000C6E07" w:rsidRDefault="00D72FE0" w:rsidP="00060454">
            <w:pPr>
              <w:spacing w:after="0"/>
              <w:jc w:val="both"/>
              <w:rPr>
                <w:b/>
                <w:sz w:val="20"/>
                <w:szCs w:val="20"/>
                <w:lang w:val="ro-RO" w:eastAsia="ru-RU"/>
              </w:rPr>
            </w:pPr>
            <w:r w:rsidRPr="000C6E07">
              <w:rPr>
                <w:b/>
                <w:sz w:val="20"/>
                <w:szCs w:val="20"/>
                <w:lang w:val="ro-RO" w:eastAsia="ru-RU"/>
              </w:rPr>
              <w:t xml:space="preserve">Indicatori de </w:t>
            </w:r>
            <w:r>
              <w:rPr>
                <w:b/>
                <w:sz w:val="20"/>
                <w:szCs w:val="20"/>
                <w:lang w:val="ro-RO" w:eastAsia="ru-RU"/>
              </w:rPr>
              <w:t>impact/</w:t>
            </w:r>
            <w:r w:rsidRPr="000C6E07">
              <w:rPr>
                <w:b/>
                <w:sz w:val="20"/>
                <w:szCs w:val="20"/>
                <w:lang w:val="ro-RO" w:eastAsia="ru-RU"/>
              </w:rPr>
              <w:t>rezultat al politicii publice</w:t>
            </w:r>
          </w:p>
        </w:tc>
        <w:tc>
          <w:tcPr>
            <w:tcW w:w="755" w:type="pct"/>
            <w:vAlign w:val="center"/>
          </w:tcPr>
          <w:p w14:paraId="4ADE46AB" w14:textId="77777777" w:rsidR="00D72FE0" w:rsidRPr="000C6E07" w:rsidRDefault="00D72FE0" w:rsidP="00060454">
            <w:pPr>
              <w:spacing w:after="0"/>
              <w:jc w:val="center"/>
              <w:rPr>
                <w:b/>
                <w:sz w:val="20"/>
                <w:szCs w:val="20"/>
                <w:lang w:val="ro-RO" w:eastAsia="ru-RU"/>
              </w:rPr>
            </w:pPr>
            <w:r w:rsidRPr="000C6E07">
              <w:rPr>
                <w:b/>
                <w:sz w:val="20"/>
                <w:szCs w:val="20"/>
                <w:lang w:val="ro-RO" w:eastAsia="ru-RU"/>
              </w:rPr>
              <w:t>Valoarea de referință în anul 2024</w:t>
            </w:r>
          </w:p>
        </w:tc>
        <w:tc>
          <w:tcPr>
            <w:tcW w:w="621" w:type="pct"/>
            <w:vAlign w:val="center"/>
          </w:tcPr>
          <w:p w14:paraId="3413437F" w14:textId="77777777" w:rsidR="00E00CE9" w:rsidRPr="00E00CE9" w:rsidRDefault="00E00CE9" w:rsidP="00E00CE9">
            <w:pPr>
              <w:spacing w:after="0"/>
              <w:jc w:val="center"/>
              <w:rPr>
                <w:rFonts w:eastAsia="Times New Roman" w:cs="Times New Roman"/>
                <w:b/>
                <w:sz w:val="20"/>
                <w:szCs w:val="20"/>
                <w:lang w:val="ro-RO"/>
                <w14:ligatures w14:val="none"/>
              </w:rPr>
            </w:pPr>
            <w:r w:rsidRPr="00E00CE9">
              <w:rPr>
                <w:rFonts w:eastAsia="Times New Roman" w:cs="Times New Roman"/>
                <w:b/>
                <w:sz w:val="20"/>
                <w:szCs w:val="20"/>
                <w:lang w:val="ro-RO"/>
                <w14:ligatures w14:val="none"/>
              </w:rPr>
              <w:t xml:space="preserve">Valoarea de referință intermediară </w:t>
            </w:r>
          </w:p>
          <w:p w14:paraId="09799E2B" w14:textId="62111D07" w:rsidR="00D72FE0" w:rsidRPr="000C6E07" w:rsidRDefault="00E00CE9" w:rsidP="00E00CE9">
            <w:pPr>
              <w:spacing w:after="0"/>
              <w:jc w:val="center"/>
              <w:rPr>
                <w:b/>
                <w:sz w:val="20"/>
                <w:szCs w:val="20"/>
                <w:lang w:val="ro-RO" w:eastAsia="ru-RU"/>
              </w:rPr>
            </w:pPr>
            <w:r w:rsidRPr="00E00CE9">
              <w:rPr>
                <w:rFonts w:eastAsia="Times New Roman" w:cs="Times New Roman"/>
                <w:b/>
                <w:sz w:val="20"/>
                <w:szCs w:val="20"/>
                <w:lang w:val="ro-RO"/>
                <w14:ligatures w14:val="none"/>
              </w:rPr>
              <w:t>(2028)</w:t>
            </w:r>
          </w:p>
        </w:tc>
        <w:tc>
          <w:tcPr>
            <w:tcW w:w="491" w:type="pct"/>
            <w:vAlign w:val="center"/>
          </w:tcPr>
          <w:p w14:paraId="4C49F8BE" w14:textId="6929F3C4" w:rsidR="00D72FE0" w:rsidRPr="000C6E07" w:rsidRDefault="00D72FE0" w:rsidP="00060454">
            <w:pPr>
              <w:spacing w:after="0"/>
              <w:jc w:val="center"/>
              <w:rPr>
                <w:b/>
                <w:sz w:val="20"/>
                <w:szCs w:val="20"/>
                <w:lang w:val="ro-RO" w:eastAsia="ru-RU"/>
              </w:rPr>
            </w:pPr>
            <w:r w:rsidRPr="000C6E07">
              <w:rPr>
                <w:b/>
                <w:sz w:val="20"/>
                <w:szCs w:val="20"/>
                <w:lang w:val="ro-RO" w:eastAsia="ru-RU"/>
              </w:rPr>
              <w:t>Ținta ce urmează a fi atinsă în anul 2030</w:t>
            </w:r>
          </w:p>
        </w:tc>
      </w:tr>
      <w:tr w:rsidR="00E00CE9" w:rsidRPr="000C6E07" w14:paraId="5A2AA18A" w14:textId="77777777" w:rsidTr="0012650D">
        <w:trPr>
          <w:trHeight w:val="288"/>
        </w:trPr>
        <w:tc>
          <w:tcPr>
            <w:tcW w:w="339" w:type="pct"/>
            <w:vMerge w:val="restart"/>
            <w:vAlign w:val="center"/>
          </w:tcPr>
          <w:p w14:paraId="2C52127A" w14:textId="30840AAB" w:rsidR="00E00CE9" w:rsidRPr="000C6E07" w:rsidRDefault="00E00CE9" w:rsidP="00E00CE9">
            <w:pPr>
              <w:spacing w:after="0"/>
              <w:jc w:val="center"/>
              <w:rPr>
                <w:b/>
                <w:sz w:val="20"/>
                <w:szCs w:val="20"/>
                <w:lang w:val="ro-RO" w:eastAsia="ru-RU"/>
              </w:rPr>
            </w:pPr>
            <w:r>
              <w:rPr>
                <w:b/>
                <w:sz w:val="20"/>
                <w:szCs w:val="20"/>
                <w:lang w:val="ro-RO" w:eastAsia="ru-RU"/>
              </w:rPr>
              <w:t>1</w:t>
            </w:r>
          </w:p>
        </w:tc>
        <w:tc>
          <w:tcPr>
            <w:tcW w:w="1331" w:type="pct"/>
            <w:vMerge w:val="restart"/>
            <w:vAlign w:val="center"/>
          </w:tcPr>
          <w:p w14:paraId="5F697CA9" w14:textId="2566D134" w:rsidR="00E00CE9" w:rsidRDefault="00E00CE9" w:rsidP="00E00CE9">
            <w:pPr>
              <w:spacing w:after="0"/>
              <w:jc w:val="both"/>
              <w:rPr>
                <w:b/>
                <w:sz w:val="20"/>
                <w:szCs w:val="20"/>
                <w:lang w:val="ro-RO" w:eastAsia="ru-RU"/>
              </w:rPr>
            </w:pPr>
            <w:r>
              <w:rPr>
                <w:b/>
                <w:sz w:val="20"/>
                <w:szCs w:val="20"/>
                <w:lang w:val="ro-RO" w:eastAsia="ru-RU"/>
              </w:rPr>
              <w:t xml:space="preserve">Obiectivul general 1 </w:t>
            </w:r>
          </w:p>
          <w:p w14:paraId="639BAD5B" w14:textId="4C61CFB0" w:rsidR="00E00CE9" w:rsidRPr="00E00CE9" w:rsidRDefault="00E00CE9" w:rsidP="00E00CE9">
            <w:pPr>
              <w:spacing w:after="0"/>
              <w:jc w:val="both"/>
              <w:rPr>
                <w:b/>
                <w:sz w:val="20"/>
                <w:szCs w:val="20"/>
                <w:lang w:val="ro-RO" w:eastAsia="ru-RU"/>
              </w:rPr>
            </w:pPr>
            <w:r w:rsidRPr="00E00CE9">
              <w:rPr>
                <w:b/>
                <w:sz w:val="20"/>
                <w:szCs w:val="20"/>
                <w:lang w:val="ro-RO" w:eastAsia="ru-RU"/>
              </w:rPr>
              <w:t>Siguranță sporită a populației la domiciliu, în comunitate și în spațiile publice</w:t>
            </w:r>
          </w:p>
        </w:tc>
        <w:tc>
          <w:tcPr>
            <w:tcW w:w="1463" w:type="pct"/>
            <w:vAlign w:val="center"/>
          </w:tcPr>
          <w:p w14:paraId="6656707F" w14:textId="48701507" w:rsidR="00E00CE9" w:rsidRPr="00E00CE9" w:rsidRDefault="00E00CE9" w:rsidP="00E00CE9">
            <w:pPr>
              <w:spacing w:after="0"/>
              <w:jc w:val="both"/>
              <w:rPr>
                <w:b/>
                <w:sz w:val="20"/>
                <w:szCs w:val="20"/>
                <w:lang w:val="ro-RO" w:eastAsia="ru-RU"/>
              </w:rPr>
            </w:pPr>
            <w:r w:rsidRPr="00E00CE9">
              <w:rPr>
                <w:b/>
                <w:sz w:val="20"/>
                <w:szCs w:val="20"/>
                <w:lang w:val="ro-RO" w:eastAsia="ru-RU"/>
              </w:rPr>
              <w:t>Percepția populației privind siguranța</w:t>
            </w:r>
          </w:p>
        </w:tc>
        <w:tc>
          <w:tcPr>
            <w:tcW w:w="755" w:type="pct"/>
            <w:vAlign w:val="center"/>
          </w:tcPr>
          <w:p w14:paraId="1D269C51" w14:textId="3720C2C1" w:rsidR="00E00CE9" w:rsidRPr="00E00CE9" w:rsidRDefault="00E00CE9" w:rsidP="00E00CE9">
            <w:pPr>
              <w:spacing w:after="0"/>
              <w:jc w:val="center"/>
              <w:rPr>
                <w:b/>
                <w:sz w:val="20"/>
                <w:szCs w:val="20"/>
                <w:lang w:val="ro-RO" w:eastAsia="ru-RU"/>
              </w:rPr>
            </w:pPr>
            <w:r w:rsidRPr="00E00CE9">
              <w:rPr>
                <w:b/>
                <w:sz w:val="20"/>
                <w:szCs w:val="20"/>
                <w:lang w:val="ro-RO" w:eastAsia="ru-RU"/>
              </w:rPr>
              <w:t>30,2% (2021)</w:t>
            </w:r>
          </w:p>
        </w:tc>
        <w:tc>
          <w:tcPr>
            <w:tcW w:w="621" w:type="pct"/>
            <w:vAlign w:val="center"/>
          </w:tcPr>
          <w:p w14:paraId="6D47A3A5" w14:textId="74D39FDF" w:rsidR="00E00CE9" w:rsidRPr="00E00CE9" w:rsidRDefault="00E00CE9" w:rsidP="00E00CE9">
            <w:pPr>
              <w:spacing w:after="0"/>
              <w:jc w:val="center"/>
              <w:rPr>
                <w:b/>
                <w:sz w:val="20"/>
                <w:szCs w:val="20"/>
                <w:lang w:val="ro-RO" w:eastAsia="ru-RU"/>
              </w:rPr>
            </w:pPr>
            <w:r w:rsidRPr="00E00CE9">
              <w:rPr>
                <w:rFonts w:eastAsia="Calibri"/>
                <w:b/>
                <w:sz w:val="20"/>
                <w:szCs w:val="20"/>
                <w:lang w:val="ro-RO" w:eastAsia="ru-RU"/>
              </w:rPr>
              <w:t>40%</w:t>
            </w:r>
          </w:p>
        </w:tc>
        <w:tc>
          <w:tcPr>
            <w:tcW w:w="491" w:type="pct"/>
            <w:vAlign w:val="center"/>
          </w:tcPr>
          <w:p w14:paraId="705DD112" w14:textId="75A93016" w:rsidR="00E00CE9" w:rsidRPr="00E00CE9" w:rsidRDefault="00E00CE9" w:rsidP="00E00CE9">
            <w:pPr>
              <w:spacing w:after="0"/>
              <w:jc w:val="center"/>
              <w:rPr>
                <w:b/>
                <w:sz w:val="20"/>
                <w:szCs w:val="20"/>
                <w:lang w:val="ro-RO" w:eastAsia="ru-RU"/>
              </w:rPr>
            </w:pPr>
            <w:r w:rsidRPr="00E00CE9">
              <w:rPr>
                <w:rFonts w:eastAsia="Calibri"/>
                <w:b/>
                <w:sz w:val="20"/>
                <w:szCs w:val="20"/>
                <w:lang w:val="ro-RO" w:eastAsia="ru-RU"/>
              </w:rPr>
              <w:t>50%</w:t>
            </w:r>
          </w:p>
        </w:tc>
      </w:tr>
      <w:tr w:rsidR="00E00CE9" w:rsidRPr="000C6E07" w14:paraId="05650535" w14:textId="77777777" w:rsidTr="0012650D">
        <w:trPr>
          <w:trHeight w:val="288"/>
        </w:trPr>
        <w:tc>
          <w:tcPr>
            <w:tcW w:w="339" w:type="pct"/>
            <w:vMerge/>
            <w:vAlign w:val="center"/>
          </w:tcPr>
          <w:p w14:paraId="15726AB5" w14:textId="77777777" w:rsidR="00E00CE9" w:rsidRDefault="00E00CE9" w:rsidP="00E00CE9">
            <w:pPr>
              <w:spacing w:after="0"/>
              <w:jc w:val="center"/>
              <w:rPr>
                <w:b/>
                <w:sz w:val="20"/>
                <w:szCs w:val="20"/>
                <w:lang w:val="ro-RO" w:eastAsia="ru-RU"/>
              </w:rPr>
            </w:pPr>
          </w:p>
        </w:tc>
        <w:tc>
          <w:tcPr>
            <w:tcW w:w="1331" w:type="pct"/>
            <w:vMerge/>
            <w:vAlign w:val="center"/>
          </w:tcPr>
          <w:p w14:paraId="61744F29" w14:textId="77777777" w:rsidR="00E00CE9" w:rsidRPr="00E00CE9" w:rsidRDefault="00E00CE9" w:rsidP="00E00CE9">
            <w:pPr>
              <w:spacing w:after="0"/>
              <w:jc w:val="both"/>
              <w:rPr>
                <w:b/>
                <w:sz w:val="20"/>
                <w:szCs w:val="20"/>
                <w:lang w:val="ro-RO" w:eastAsia="ru-RU"/>
              </w:rPr>
            </w:pPr>
          </w:p>
        </w:tc>
        <w:tc>
          <w:tcPr>
            <w:tcW w:w="1463" w:type="pct"/>
            <w:vAlign w:val="center"/>
          </w:tcPr>
          <w:p w14:paraId="460DB495" w14:textId="022CBF23" w:rsidR="00E00CE9" w:rsidRPr="00E00CE9" w:rsidRDefault="00E00CE9" w:rsidP="00E00CE9">
            <w:pPr>
              <w:spacing w:after="0"/>
              <w:jc w:val="both"/>
              <w:rPr>
                <w:b/>
                <w:sz w:val="20"/>
                <w:szCs w:val="20"/>
                <w:lang w:val="ro-RO" w:eastAsia="ru-RU"/>
              </w:rPr>
            </w:pPr>
            <w:r w:rsidRPr="00E00CE9">
              <w:rPr>
                <w:b/>
                <w:sz w:val="20"/>
                <w:szCs w:val="20"/>
                <w:lang w:val="ro-RO" w:eastAsia="ru-RU"/>
              </w:rPr>
              <w:t>Nivelul de încredere al populației în Poliție conform sondajelor Barometrului Opiniei Publice (BOP)</w:t>
            </w:r>
          </w:p>
        </w:tc>
        <w:tc>
          <w:tcPr>
            <w:tcW w:w="755" w:type="pct"/>
            <w:vAlign w:val="center"/>
          </w:tcPr>
          <w:p w14:paraId="16D5860F" w14:textId="75BCC340" w:rsidR="00E00CE9" w:rsidRPr="00E00CE9" w:rsidRDefault="00E00CE9" w:rsidP="00E00CE9">
            <w:pPr>
              <w:spacing w:after="0"/>
              <w:jc w:val="center"/>
              <w:rPr>
                <w:b/>
                <w:sz w:val="20"/>
                <w:szCs w:val="20"/>
                <w:lang w:val="ro-RO" w:eastAsia="ru-RU"/>
              </w:rPr>
            </w:pPr>
            <w:r w:rsidRPr="00E00CE9">
              <w:rPr>
                <w:b/>
                <w:sz w:val="20"/>
                <w:szCs w:val="20"/>
                <w:lang w:val="ro-RO" w:eastAsia="ru-RU"/>
              </w:rPr>
              <w:t>31% (2021)</w:t>
            </w:r>
          </w:p>
        </w:tc>
        <w:tc>
          <w:tcPr>
            <w:tcW w:w="621" w:type="pct"/>
            <w:vAlign w:val="center"/>
          </w:tcPr>
          <w:p w14:paraId="18849D55" w14:textId="76A6A26B" w:rsidR="00E00CE9" w:rsidRPr="00E00CE9" w:rsidRDefault="00E00CE9" w:rsidP="00E00CE9">
            <w:pPr>
              <w:spacing w:after="0"/>
              <w:jc w:val="center"/>
              <w:rPr>
                <w:b/>
                <w:sz w:val="20"/>
                <w:szCs w:val="20"/>
                <w:lang w:val="ro-RO" w:eastAsia="ru-RU"/>
              </w:rPr>
            </w:pPr>
            <w:r w:rsidRPr="00E00CE9">
              <w:rPr>
                <w:rFonts w:eastAsia="Calibri"/>
                <w:b/>
                <w:sz w:val="20"/>
                <w:szCs w:val="20"/>
                <w:lang w:val="ro-RO" w:eastAsia="ru-RU"/>
              </w:rPr>
              <w:t>45%</w:t>
            </w:r>
          </w:p>
        </w:tc>
        <w:tc>
          <w:tcPr>
            <w:tcW w:w="491" w:type="pct"/>
            <w:vAlign w:val="center"/>
          </w:tcPr>
          <w:p w14:paraId="32947BFA" w14:textId="71B1C865" w:rsidR="00E00CE9" w:rsidRPr="00E00CE9" w:rsidRDefault="00E00CE9" w:rsidP="00E00CE9">
            <w:pPr>
              <w:spacing w:after="0"/>
              <w:jc w:val="center"/>
              <w:rPr>
                <w:b/>
                <w:sz w:val="20"/>
                <w:szCs w:val="20"/>
                <w:lang w:val="ro-RO" w:eastAsia="ru-RU"/>
              </w:rPr>
            </w:pPr>
            <w:r w:rsidRPr="00E00CE9">
              <w:rPr>
                <w:b/>
                <w:sz w:val="20"/>
                <w:szCs w:val="20"/>
                <w:lang w:val="ro-RO" w:eastAsia="ro-RO"/>
              </w:rPr>
              <w:t>56%</w:t>
            </w:r>
          </w:p>
        </w:tc>
      </w:tr>
      <w:tr w:rsidR="00E00CE9" w:rsidRPr="000C6E07" w14:paraId="79522D19" w14:textId="77777777" w:rsidTr="00E00CE9">
        <w:trPr>
          <w:trHeight w:val="987"/>
        </w:trPr>
        <w:tc>
          <w:tcPr>
            <w:tcW w:w="339" w:type="pct"/>
          </w:tcPr>
          <w:p w14:paraId="2842F288" w14:textId="77777777" w:rsidR="00E00CE9" w:rsidRPr="000C6E07" w:rsidRDefault="00E00CE9" w:rsidP="00E00CE9">
            <w:pPr>
              <w:spacing w:after="0"/>
              <w:rPr>
                <w:sz w:val="20"/>
                <w:szCs w:val="20"/>
                <w:lang w:val="ro-RO" w:eastAsia="ru-RU"/>
              </w:rPr>
            </w:pPr>
            <w:r w:rsidRPr="000C6E07">
              <w:rPr>
                <w:sz w:val="20"/>
                <w:szCs w:val="20"/>
                <w:lang w:val="ro-RO" w:eastAsia="ru-RU"/>
              </w:rPr>
              <w:t>1.1.</w:t>
            </w:r>
          </w:p>
        </w:tc>
        <w:tc>
          <w:tcPr>
            <w:tcW w:w="1331" w:type="pct"/>
          </w:tcPr>
          <w:p w14:paraId="4BB38152" w14:textId="4074F5C4" w:rsidR="00B93670" w:rsidRPr="00B93670" w:rsidRDefault="00B93670" w:rsidP="00E00CE9">
            <w:pPr>
              <w:spacing w:after="0"/>
              <w:rPr>
                <w:bCs/>
                <w:kern w:val="2"/>
                <w:sz w:val="20"/>
                <w:szCs w:val="20"/>
                <w:lang w:val="ro-RO" w:eastAsia="ru-RU"/>
              </w:rPr>
            </w:pPr>
            <w:r w:rsidRPr="00B93670">
              <w:rPr>
                <w:bCs/>
                <w:sz w:val="20"/>
                <w:szCs w:val="20"/>
                <w:lang w:val="ro-RO"/>
              </w:rPr>
              <w:t>Obiectivul specific 1.1.</w:t>
            </w:r>
          </w:p>
          <w:p w14:paraId="2B5F20D3" w14:textId="1048961D" w:rsidR="00E00CE9" w:rsidRPr="000C6E07" w:rsidRDefault="00E00CE9" w:rsidP="00E00CE9">
            <w:pPr>
              <w:spacing w:after="0"/>
              <w:rPr>
                <w:bCs/>
                <w:sz w:val="20"/>
                <w:szCs w:val="20"/>
                <w:lang w:val="ro-RO" w:eastAsia="ru-RU"/>
              </w:rPr>
            </w:pPr>
            <w:r>
              <w:rPr>
                <w:bCs/>
                <w:kern w:val="2"/>
                <w:sz w:val="20"/>
                <w:szCs w:val="20"/>
                <w:lang w:val="ro-RO" w:eastAsia="ru-RU"/>
              </w:rPr>
              <w:t>R</w:t>
            </w:r>
            <w:r w:rsidRPr="000C6E07">
              <w:rPr>
                <w:bCs/>
                <w:kern w:val="2"/>
                <w:sz w:val="20"/>
                <w:szCs w:val="20"/>
                <w:lang w:val="ro-RO" w:eastAsia="ru-RU"/>
              </w:rPr>
              <w:t xml:space="preserve">ăspuns profesionist, eficient și rapid </w:t>
            </w:r>
            <w:r>
              <w:rPr>
                <w:bCs/>
                <w:kern w:val="2"/>
                <w:sz w:val="20"/>
                <w:szCs w:val="20"/>
                <w:lang w:val="ro-RO" w:eastAsia="ru-RU"/>
              </w:rPr>
              <w:t xml:space="preserve">asigurat </w:t>
            </w:r>
            <w:r w:rsidRPr="000C6E07">
              <w:rPr>
                <w:bCs/>
                <w:kern w:val="2"/>
                <w:sz w:val="20"/>
                <w:szCs w:val="20"/>
                <w:lang w:val="ro-RO" w:eastAsia="ru-RU"/>
              </w:rPr>
              <w:t>la provocările specifice  până în anul 2030</w:t>
            </w:r>
          </w:p>
        </w:tc>
        <w:tc>
          <w:tcPr>
            <w:tcW w:w="1463" w:type="pct"/>
            <w:vAlign w:val="center"/>
          </w:tcPr>
          <w:p w14:paraId="7B7B1B2F" w14:textId="40A0B4DA" w:rsidR="00E00CE9" w:rsidRPr="000C6E07" w:rsidRDefault="00E00CE9" w:rsidP="00E00CE9">
            <w:pPr>
              <w:spacing w:after="0"/>
              <w:jc w:val="both"/>
              <w:rPr>
                <w:bCs/>
                <w:sz w:val="20"/>
                <w:szCs w:val="20"/>
                <w:lang w:val="ro-RO" w:eastAsia="ru-RU"/>
              </w:rPr>
            </w:pPr>
            <w:r w:rsidRPr="000C6E07">
              <w:rPr>
                <w:rFonts w:eastAsia="Calibri"/>
                <w:bCs/>
                <w:sz w:val="20"/>
                <w:szCs w:val="20"/>
                <w:lang w:val="ro-RO" w:eastAsia="zh-CN"/>
              </w:rPr>
              <w:t xml:space="preserve">Majorarea cu 34 </w:t>
            </w:r>
            <w:proofErr w:type="spellStart"/>
            <w:r w:rsidRPr="000C6E07">
              <w:rPr>
                <w:rFonts w:eastAsia="Calibri"/>
                <w:bCs/>
                <w:sz w:val="20"/>
                <w:szCs w:val="20"/>
                <w:lang w:val="ro-RO" w:eastAsia="zh-CN"/>
              </w:rPr>
              <w:t>p.p.</w:t>
            </w:r>
            <w:proofErr w:type="spellEnd"/>
            <w:r w:rsidRPr="000C6E07">
              <w:rPr>
                <w:rFonts w:eastAsia="Calibri"/>
                <w:bCs/>
                <w:sz w:val="20"/>
                <w:szCs w:val="20"/>
                <w:lang w:val="ro-RO" w:eastAsia="zh-CN"/>
              </w:rPr>
              <w:t xml:space="preserve"> a numărului unităților de personal pentru asigurarea minimului necesar al echipelor de patrulare și reacționare operativă până în anul 2030</w:t>
            </w:r>
          </w:p>
        </w:tc>
        <w:tc>
          <w:tcPr>
            <w:tcW w:w="755" w:type="pct"/>
            <w:vAlign w:val="center"/>
          </w:tcPr>
          <w:p w14:paraId="3CCEE6CA" w14:textId="061BE17D" w:rsidR="00E00CE9" w:rsidRPr="008A243D" w:rsidRDefault="00E00CE9" w:rsidP="00E00CE9">
            <w:pPr>
              <w:spacing w:after="0"/>
              <w:jc w:val="center"/>
              <w:rPr>
                <w:rFonts w:eastAsia="Calibri"/>
                <w:bCs/>
                <w:sz w:val="20"/>
                <w:szCs w:val="20"/>
                <w:lang w:val="ro-RO" w:eastAsia="zh-CN"/>
              </w:rPr>
            </w:pPr>
            <w:r w:rsidRPr="000C6E07">
              <w:rPr>
                <w:rFonts w:eastAsia="Calibri"/>
                <w:bCs/>
                <w:sz w:val="20"/>
                <w:szCs w:val="20"/>
                <w:lang w:val="ro-RO" w:eastAsia="zh-CN"/>
              </w:rPr>
              <w:t>66%</w:t>
            </w:r>
          </w:p>
        </w:tc>
        <w:tc>
          <w:tcPr>
            <w:tcW w:w="621" w:type="pct"/>
            <w:vAlign w:val="center"/>
          </w:tcPr>
          <w:p w14:paraId="63897C8E" w14:textId="1FF17CD1" w:rsidR="00E00CE9" w:rsidRPr="008A243D" w:rsidRDefault="00E00CE9" w:rsidP="00E00CE9">
            <w:pPr>
              <w:spacing w:after="0"/>
              <w:jc w:val="center"/>
              <w:rPr>
                <w:rFonts w:eastAsia="Calibri"/>
                <w:bCs/>
                <w:sz w:val="20"/>
                <w:szCs w:val="20"/>
                <w:lang w:val="ro-RO" w:eastAsia="zh-CN"/>
              </w:rPr>
            </w:pPr>
            <w:r>
              <w:rPr>
                <w:rFonts w:eastAsia="Calibri"/>
                <w:bCs/>
                <w:sz w:val="20"/>
                <w:szCs w:val="20"/>
                <w:lang w:val="ro-RO" w:eastAsia="zh-CN"/>
              </w:rPr>
              <w:t>83%</w:t>
            </w:r>
          </w:p>
        </w:tc>
        <w:tc>
          <w:tcPr>
            <w:tcW w:w="491" w:type="pct"/>
            <w:vAlign w:val="center"/>
          </w:tcPr>
          <w:p w14:paraId="6878B204" w14:textId="19B583AE"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100%</w:t>
            </w:r>
          </w:p>
        </w:tc>
      </w:tr>
      <w:tr w:rsidR="00E00CE9" w:rsidRPr="000C6E07" w14:paraId="31570CAE" w14:textId="77777777" w:rsidTr="00E00CE9">
        <w:trPr>
          <w:trHeight w:val="530"/>
        </w:trPr>
        <w:tc>
          <w:tcPr>
            <w:tcW w:w="339" w:type="pct"/>
            <w:vMerge w:val="restart"/>
          </w:tcPr>
          <w:p w14:paraId="60991CA1" w14:textId="77777777" w:rsidR="00E00CE9" w:rsidRPr="000C6E07" w:rsidRDefault="00E00CE9" w:rsidP="00E00CE9">
            <w:pPr>
              <w:spacing w:after="0"/>
              <w:rPr>
                <w:sz w:val="20"/>
                <w:szCs w:val="20"/>
                <w:lang w:val="ro-RO" w:eastAsia="ru-RU"/>
              </w:rPr>
            </w:pPr>
            <w:r w:rsidRPr="000C6E07">
              <w:rPr>
                <w:sz w:val="20"/>
                <w:szCs w:val="20"/>
                <w:lang w:val="ro-RO" w:eastAsia="ru-RU"/>
              </w:rPr>
              <w:t>1.2.</w:t>
            </w:r>
          </w:p>
        </w:tc>
        <w:tc>
          <w:tcPr>
            <w:tcW w:w="1331" w:type="pct"/>
            <w:vMerge w:val="restart"/>
          </w:tcPr>
          <w:p w14:paraId="7FC7BF1D" w14:textId="4F839D3C" w:rsidR="00B93670" w:rsidRPr="00B93670" w:rsidRDefault="00B93670" w:rsidP="00B93670">
            <w:pPr>
              <w:spacing w:after="0"/>
              <w:rPr>
                <w:bCs/>
                <w:kern w:val="2"/>
                <w:sz w:val="20"/>
                <w:szCs w:val="20"/>
                <w:lang w:val="ro-RO" w:eastAsia="ru-RU"/>
              </w:rPr>
            </w:pPr>
            <w:r w:rsidRPr="00B93670">
              <w:rPr>
                <w:bCs/>
                <w:sz w:val="20"/>
                <w:szCs w:val="20"/>
                <w:lang w:val="ro-RO"/>
              </w:rPr>
              <w:t>Obiectivul specific 1.</w:t>
            </w:r>
            <w:r>
              <w:rPr>
                <w:bCs/>
                <w:sz w:val="20"/>
                <w:szCs w:val="20"/>
                <w:lang w:val="ro-RO"/>
              </w:rPr>
              <w:t>2</w:t>
            </w:r>
            <w:r w:rsidRPr="00B93670">
              <w:rPr>
                <w:bCs/>
                <w:sz w:val="20"/>
                <w:szCs w:val="20"/>
                <w:lang w:val="ro-RO"/>
              </w:rPr>
              <w:t>.</w:t>
            </w:r>
          </w:p>
          <w:p w14:paraId="6CEC32C3" w14:textId="59488ECA" w:rsidR="00E00CE9" w:rsidRPr="000C6E07" w:rsidRDefault="00E00CE9" w:rsidP="00E00CE9">
            <w:pPr>
              <w:spacing w:after="0"/>
              <w:rPr>
                <w:bCs/>
                <w:kern w:val="2"/>
                <w:sz w:val="20"/>
                <w:szCs w:val="20"/>
                <w:lang w:val="ro-RO" w:eastAsia="ru-RU"/>
              </w:rPr>
            </w:pPr>
            <w:r>
              <w:rPr>
                <w:rFonts w:eastAsia="Calibri"/>
                <w:bCs/>
                <w:sz w:val="20"/>
                <w:szCs w:val="20"/>
                <w:lang w:val="ro-RO" w:eastAsia="ru-RU"/>
              </w:rPr>
              <w:t>S</w:t>
            </w:r>
            <w:r w:rsidRPr="000C6E07">
              <w:rPr>
                <w:rFonts w:eastAsia="Calibri"/>
                <w:bCs/>
                <w:sz w:val="20"/>
                <w:szCs w:val="20"/>
                <w:lang w:val="ro-RO" w:eastAsia="ru-RU"/>
              </w:rPr>
              <w:t xml:space="preserve">urse de date </w:t>
            </w:r>
            <w:r>
              <w:rPr>
                <w:rFonts w:eastAsia="Calibri"/>
                <w:bCs/>
                <w:sz w:val="20"/>
                <w:szCs w:val="20"/>
                <w:lang w:val="ro-RO" w:eastAsia="ru-RU"/>
              </w:rPr>
              <w:t>i</w:t>
            </w:r>
            <w:r w:rsidRPr="000C6E07">
              <w:rPr>
                <w:rFonts w:eastAsia="Calibri"/>
                <w:bCs/>
                <w:sz w:val="20"/>
                <w:szCs w:val="20"/>
                <w:lang w:val="ro-RO" w:eastAsia="ru-RU"/>
              </w:rPr>
              <w:t>ntegra</w:t>
            </w:r>
            <w:r>
              <w:rPr>
                <w:rFonts w:eastAsia="Calibri"/>
                <w:bCs/>
                <w:sz w:val="20"/>
                <w:szCs w:val="20"/>
                <w:lang w:val="ro-RO" w:eastAsia="ru-RU"/>
              </w:rPr>
              <w:t>te</w:t>
            </w:r>
            <w:r w:rsidRPr="000C6E07">
              <w:rPr>
                <w:rFonts w:eastAsia="Calibri"/>
                <w:bCs/>
                <w:sz w:val="20"/>
                <w:szCs w:val="20"/>
                <w:lang w:val="ro-RO" w:eastAsia="ru-RU"/>
              </w:rPr>
              <w:t xml:space="preserve"> și dezvolta</w:t>
            </w:r>
            <w:r>
              <w:rPr>
                <w:rFonts w:eastAsia="Calibri"/>
                <w:bCs/>
                <w:sz w:val="20"/>
                <w:szCs w:val="20"/>
                <w:lang w:val="ro-RO" w:eastAsia="ru-RU"/>
              </w:rPr>
              <w:t>te</w:t>
            </w:r>
            <w:r w:rsidRPr="000C6E07">
              <w:rPr>
                <w:rFonts w:eastAsia="Calibri"/>
                <w:bCs/>
                <w:sz w:val="20"/>
                <w:szCs w:val="20"/>
                <w:lang w:val="ro-RO" w:eastAsia="ru-RU"/>
              </w:rPr>
              <w:t xml:space="preserve"> pentru a genera informații cu valoare adăugată, care vor servi drept suport la luarea deciziilor până în anul 2030</w:t>
            </w:r>
          </w:p>
        </w:tc>
        <w:tc>
          <w:tcPr>
            <w:tcW w:w="1463" w:type="pct"/>
            <w:vAlign w:val="center"/>
          </w:tcPr>
          <w:p w14:paraId="3C6460B8" w14:textId="77777777" w:rsidR="00E00CE9" w:rsidRPr="008A243D" w:rsidRDefault="00E00CE9" w:rsidP="00E00CE9">
            <w:pPr>
              <w:spacing w:after="0"/>
              <w:jc w:val="both"/>
              <w:rPr>
                <w:rFonts w:eastAsia="Calibri"/>
                <w:bCs/>
                <w:sz w:val="20"/>
                <w:szCs w:val="20"/>
                <w:lang w:val="ro-RO" w:eastAsia="zh-CN"/>
              </w:rPr>
            </w:pPr>
            <w:r w:rsidRPr="008A243D">
              <w:rPr>
                <w:rFonts w:eastAsia="Calibri"/>
                <w:bCs/>
                <w:sz w:val="20"/>
                <w:szCs w:val="20"/>
                <w:lang w:val="ro-RO" w:eastAsia="zh-CN"/>
              </w:rPr>
              <w:t>Menținerea la 100% a ponderii deciziilor adoptate în baza produselor analitice la nivel teritorial și confirmate de evoluțiile ulterioare</w:t>
            </w:r>
          </w:p>
        </w:tc>
        <w:tc>
          <w:tcPr>
            <w:tcW w:w="755" w:type="pct"/>
            <w:vAlign w:val="center"/>
          </w:tcPr>
          <w:p w14:paraId="71DF52AD" w14:textId="77777777"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100%</w:t>
            </w:r>
          </w:p>
        </w:tc>
        <w:tc>
          <w:tcPr>
            <w:tcW w:w="621" w:type="pct"/>
            <w:vAlign w:val="center"/>
          </w:tcPr>
          <w:p w14:paraId="367C7704" w14:textId="479EF157"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100%</w:t>
            </w:r>
          </w:p>
        </w:tc>
        <w:tc>
          <w:tcPr>
            <w:tcW w:w="491" w:type="pct"/>
            <w:vAlign w:val="center"/>
          </w:tcPr>
          <w:p w14:paraId="1F739CE7" w14:textId="2C7C4554"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100%</w:t>
            </w:r>
          </w:p>
        </w:tc>
      </w:tr>
      <w:tr w:rsidR="00E00CE9" w:rsidRPr="000C6E07" w14:paraId="648246D2" w14:textId="77777777" w:rsidTr="00E00CE9">
        <w:trPr>
          <w:trHeight w:val="713"/>
        </w:trPr>
        <w:tc>
          <w:tcPr>
            <w:tcW w:w="339" w:type="pct"/>
            <w:vMerge/>
          </w:tcPr>
          <w:p w14:paraId="738E42FA" w14:textId="77777777" w:rsidR="00E00CE9" w:rsidRPr="000C6E07" w:rsidRDefault="00E00CE9" w:rsidP="00E00CE9">
            <w:pPr>
              <w:spacing w:after="0"/>
              <w:rPr>
                <w:sz w:val="20"/>
                <w:szCs w:val="20"/>
                <w:lang w:val="ro-RO" w:eastAsia="ru-RU"/>
              </w:rPr>
            </w:pPr>
          </w:p>
        </w:tc>
        <w:tc>
          <w:tcPr>
            <w:tcW w:w="1331" w:type="pct"/>
            <w:vMerge/>
          </w:tcPr>
          <w:p w14:paraId="33AC73DF" w14:textId="77777777" w:rsidR="00E00CE9" w:rsidRPr="000C6E07" w:rsidRDefault="00E00CE9" w:rsidP="00E00CE9">
            <w:pPr>
              <w:spacing w:after="0"/>
              <w:rPr>
                <w:rFonts w:eastAsia="Calibri"/>
                <w:bCs/>
                <w:sz w:val="20"/>
                <w:szCs w:val="20"/>
                <w:lang w:val="ro-RO" w:eastAsia="ru-RU"/>
              </w:rPr>
            </w:pPr>
          </w:p>
        </w:tc>
        <w:tc>
          <w:tcPr>
            <w:tcW w:w="1463" w:type="pct"/>
            <w:vAlign w:val="center"/>
          </w:tcPr>
          <w:p w14:paraId="79E60002" w14:textId="4DA68C6C" w:rsidR="00E00CE9" w:rsidRPr="008A243D" w:rsidRDefault="00E00CE9" w:rsidP="00E00CE9">
            <w:pPr>
              <w:spacing w:after="0"/>
              <w:jc w:val="both"/>
              <w:rPr>
                <w:rFonts w:eastAsia="Calibri"/>
                <w:bCs/>
                <w:sz w:val="20"/>
                <w:szCs w:val="20"/>
                <w:lang w:val="ro-RO" w:eastAsia="zh-CN"/>
              </w:rPr>
            </w:pPr>
            <w:r w:rsidRPr="008A243D">
              <w:rPr>
                <w:rFonts w:eastAsia="Calibri"/>
                <w:bCs/>
                <w:sz w:val="20"/>
                <w:szCs w:val="20"/>
                <w:lang w:val="ro-RO" w:eastAsia="zh-CN"/>
              </w:rPr>
              <w:t>Diminuarea cu 25% a infracțiunilor prevăzute de art. 186, 264/1, 190, 287, 361, 201/1 CP</w:t>
            </w:r>
          </w:p>
        </w:tc>
        <w:tc>
          <w:tcPr>
            <w:tcW w:w="755" w:type="pct"/>
            <w:vAlign w:val="center"/>
          </w:tcPr>
          <w:p w14:paraId="079B504E" w14:textId="562449B8"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13893</w:t>
            </w:r>
          </w:p>
        </w:tc>
        <w:tc>
          <w:tcPr>
            <w:tcW w:w="621" w:type="pct"/>
            <w:vAlign w:val="center"/>
          </w:tcPr>
          <w:p w14:paraId="61063769" w14:textId="7B70C967" w:rsidR="00E00CE9" w:rsidRPr="008A243D" w:rsidRDefault="00E00CE9" w:rsidP="00E00CE9">
            <w:pPr>
              <w:spacing w:after="0"/>
              <w:jc w:val="center"/>
              <w:rPr>
                <w:rFonts w:eastAsia="Calibri"/>
                <w:bCs/>
                <w:sz w:val="20"/>
                <w:szCs w:val="20"/>
                <w:lang w:val="ro-RO" w:eastAsia="zh-CN"/>
              </w:rPr>
            </w:pPr>
            <w:r>
              <w:rPr>
                <w:rFonts w:eastAsia="Calibri"/>
                <w:bCs/>
                <w:sz w:val="20"/>
                <w:szCs w:val="20"/>
                <w:lang w:val="ro-RO" w:eastAsia="zh-CN"/>
              </w:rPr>
              <w:t>12156</w:t>
            </w:r>
          </w:p>
        </w:tc>
        <w:tc>
          <w:tcPr>
            <w:tcW w:w="491" w:type="pct"/>
            <w:vAlign w:val="center"/>
          </w:tcPr>
          <w:p w14:paraId="6C647250" w14:textId="5FEEA393"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10419</w:t>
            </w:r>
          </w:p>
        </w:tc>
      </w:tr>
      <w:tr w:rsidR="00E00CE9" w:rsidRPr="000C6E07" w14:paraId="3016813A" w14:textId="77777777" w:rsidTr="00E00CE9">
        <w:trPr>
          <w:trHeight w:val="694"/>
        </w:trPr>
        <w:tc>
          <w:tcPr>
            <w:tcW w:w="339" w:type="pct"/>
          </w:tcPr>
          <w:p w14:paraId="74E3C585" w14:textId="77777777" w:rsidR="00E00CE9" w:rsidRPr="000C6E07" w:rsidRDefault="00E00CE9" w:rsidP="00E00CE9">
            <w:pPr>
              <w:spacing w:after="0"/>
              <w:rPr>
                <w:sz w:val="20"/>
                <w:szCs w:val="20"/>
                <w:lang w:val="ro-RO" w:eastAsia="ru-RU"/>
              </w:rPr>
            </w:pPr>
            <w:r w:rsidRPr="000C6E07">
              <w:rPr>
                <w:sz w:val="20"/>
                <w:szCs w:val="20"/>
                <w:lang w:val="ro-RO" w:eastAsia="ru-RU"/>
              </w:rPr>
              <w:t>1.3.</w:t>
            </w:r>
          </w:p>
        </w:tc>
        <w:tc>
          <w:tcPr>
            <w:tcW w:w="1331" w:type="pct"/>
          </w:tcPr>
          <w:p w14:paraId="3C0DFF29" w14:textId="7C6024DE" w:rsidR="00B93670" w:rsidRPr="00B93670" w:rsidRDefault="00B93670" w:rsidP="00B93670">
            <w:pPr>
              <w:spacing w:after="0"/>
              <w:rPr>
                <w:bCs/>
                <w:kern w:val="2"/>
                <w:sz w:val="20"/>
                <w:szCs w:val="20"/>
                <w:lang w:val="ro-RO" w:eastAsia="ru-RU"/>
              </w:rPr>
            </w:pPr>
            <w:r w:rsidRPr="00B93670">
              <w:rPr>
                <w:bCs/>
                <w:sz w:val="20"/>
                <w:szCs w:val="20"/>
                <w:lang w:val="ro-RO"/>
              </w:rPr>
              <w:t>Obiectivul specific 1.</w:t>
            </w:r>
            <w:r>
              <w:rPr>
                <w:bCs/>
                <w:sz w:val="20"/>
                <w:szCs w:val="20"/>
                <w:lang w:val="ro-RO"/>
              </w:rPr>
              <w:t>3</w:t>
            </w:r>
            <w:r w:rsidRPr="00B93670">
              <w:rPr>
                <w:bCs/>
                <w:sz w:val="20"/>
                <w:szCs w:val="20"/>
                <w:lang w:val="ro-RO"/>
              </w:rPr>
              <w:t>.</w:t>
            </w:r>
          </w:p>
          <w:p w14:paraId="611D7A59" w14:textId="0733ED74" w:rsidR="00E00CE9" w:rsidRPr="000C6E07" w:rsidRDefault="00E00CE9" w:rsidP="00E00CE9">
            <w:pPr>
              <w:spacing w:after="0"/>
              <w:rPr>
                <w:bCs/>
                <w:sz w:val="20"/>
                <w:szCs w:val="20"/>
                <w:lang w:val="ro-RO" w:eastAsia="ru-RU"/>
              </w:rPr>
            </w:pPr>
            <w:r w:rsidRPr="000C6E07">
              <w:rPr>
                <w:bCs/>
                <w:sz w:val="20"/>
                <w:szCs w:val="20"/>
                <w:lang w:val="ro-RO" w:eastAsia="ru-RU"/>
              </w:rPr>
              <w:t>Conceptul de activitate polițienească comunitară</w:t>
            </w:r>
            <w:r>
              <w:rPr>
                <w:bCs/>
                <w:sz w:val="20"/>
                <w:szCs w:val="20"/>
                <w:lang w:val="ro-RO" w:eastAsia="ru-RU"/>
              </w:rPr>
              <w:t xml:space="preserve"> extins</w:t>
            </w:r>
            <w:r w:rsidRPr="000C6E07">
              <w:rPr>
                <w:bCs/>
                <w:sz w:val="20"/>
                <w:szCs w:val="20"/>
                <w:lang w:val="ro-RO" w:eastAsia="ru-RU"/>
              </w:rPr>
              <w:t xml:space="preserve"> în cazul a  100% din  sectoarele de poliție până în anul 2030</w:t>
            </w:r>
          </w:p>
        </w:tc>
        <w:tc>
          <w:tcPr>
            <w:tcW w:w="1463" w:type="pct"/>
            <w:vAlign w:val="center"/>
          </w:tcPr>
          <w:p w14:paraId="42EB8C10" w14:textId="77777777" w:rsidR="00E00CE9" w:rsidRPr="008A243D" w:rsidRDefault="00E00CE9" w:rsidP="00E00CE9">
            <w:pPr>
              <w:spacing w:after="0"/>
              <w:jc w:val="both"/>
              <w:rPr>
                <w:rFonts w:eastAsia="Calibri"/>
                <w:bCs/>
                <w:sz w:val="20"/>
                <w:szCs w:val="20"/>
                <w:lang w:val="ro-RO" w:eastAsia="zh-CN"/>
              </w:rPr>
            </w:pPr>
            <w:r w:rsidRPr="000C6E07">
              <w:rPr>
                <w:rFonts w:eastAsia="Calibri"/>
                <w:bCs/>
                <w:sz w:val="20"/>
                <w:szCs w:val="20"/>
                <w:lang w:val="ro-RO" w:eastAsia="zh-CN"/>
              </w:rPr>
              <w:t xml:space="preserve">Diminuarea cu 10 </w:t>
            </w:r>
            <w:proofErr w:type="spellStart"/>
            <w:r w:rsidRPr="000C6E07">
              <w:rPr>
                <w:rFonts w:eastAsia="Calibri"/>
                <w:bCs/>
                <w:sz w:val="20"/>
                <w:szCs w:val="20"/>
                <w:lang w:val="ro-RO" w:eastAsia="zh-CN"/>
              </w:rPr>
              <w:t>p.p.</w:t>
            </w:r>
            <w:proofErr w:type="spellEnd"/>
            <w:r w:rsidRPr="000C6E07">
              <w:rPr>
                <w:rFonts w:eastAsia="Calibri"/>
                <w:bCs/>
                <w:sz w:val="20"/>
                <w:szCs w:val="20"/>
                <w:lang w:val="ro-RO" w:eastAsia="zh-CN"/>
              </w:rPr>
              <w:t xml:space="preserve"> a ratei </w:t>
            </w:r>
            <w:r w:rsidRPr="008A243D">
              <w:rPr>
                <w:rFonts w:eastAsia="Calibri"/>
                <w:bCs/>
                <w:sz w:val="20"/>
                <w:szCs w:val="20"/>
                <w:lang w:val="ro-RO" w:eastAsia="zh-CN"/>
              </w:rPr>
              <w:t>infracțiunilor ce atentează la viața și sănătatea persoanei și a celor comise în sfera relațiilor familiale</w:t>
            </w:r>
            <w:r w:rsidRPr="000C6E07">
              <w:rPr>
                <w:rFonts w:eastAsia="Calibri"/>
                <w:bCs/>
                <w:sz w:val="20"/>
                <w:szCs w:val="20"/>
                <w:lang w:val="ro-RO" w:eastAsia="zh-CN"/>
              </w:rPr>
              <w:t xml:space="preserve"> la </w:t>
            </w:r>
            <w:r w:rsidRPr="000C6E07">
              <w:rPr>
                <w:rFonts w:eastAsia="Calibri"/>
                <w:bCs/>
                <w:sz w:val="20"/>
                <w:szCs w:val="20"/>
                <w:lang w:val="ro-RO" w:eastAsia="zh-CN"/>
              </w:rPr>
              <w:br/>
              <w:t>100 mii de populație</w:t>
            </w:r>
          </w:p>
        </w:tc>
        <w:tc>
          <w:tcPr>
            <w:tcW w:w="755" w:type="pct"/>
            <w:vAlign w:val="center"/>
          </w:tcPr>
          <w:p w14:paraId="61691295" w14:textId="77777777"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92,2</w:t>
            </w:r>
          </w:p>
        </w:tc>
        <w:tc>
          <w:tcPr>
            <w:tcW w:w="621" w:type="pct"/>
            <w:vAlign w:val="center"/>
          </w:tcPr>
          <w:p w14:paraId="02316E13" w14:textId="59943B7F" w:rsidR="00E00CE9" w:rsidRPr="008A243D" w:rsidRDefault="00E00CE9" w:rsidP="00E00CE9">
            <w:pPr>
              <w:spacing w:after="0"/>
              <w:jc w:val="center"/>
              <w:rPr>
                <w:rFonts w:eastAsia="Calibri"/>
                <w:bCs/>
                <w:sz w:val="20"/>
                <w:szCs w:val="20"/>
                <w:lang w:val="ro-RO" w:eastAsia="zh-CN"/>
              </w:rPr>
            </w:pPr>
            <w:r>
              <w:rPr>
                <w:rFonts w:eastAsia="Calibri"/>
                <w:bCs/>
                <w:sz w:val="20"/>
                <w:szCs w:val="20"/>
                <w:lang w:val="ro-RO" w:eastAsia="zh-CN"/>
              </w:rPr>
              <w:t>87,2</w:t>
            </w:r>
          </w:p>
        </w:tc>
        <w:tc>
          <w:tcPr>
            <w:tcW w:w="491" w:type="pct"/>
            <w:vAlign w:val="center"/>
          </w:tcPr>
          <w:p w14:paraId="16FAD6FE" w14:textId="46889E65" w:rsidR="00E00CE9" w:rsidRPr="008A243D" w:rsidRDefault="00E00CE9" w:rsidP="00E00CE9">
            <w:pPr>
              <w:spacing w:after="0"/>
              <w:jc w:val="center"/>
              <w:rPr>
                <w:rFonts w:eastAsia="Calibri"/>
                <w:bCs/>
                <w:sz w:val="20"/>
                <w:szCs w:val="20"/>
                <w:lang w:val="ro-RO" w:eastAsia="zh-CN"/>
              </w:rPr>
            </w:pPr>
            <w:r w:rsidRPr="008A243D">
              <w:rPr>
                <w:rFonts w:eastAsia="Calibri"/>
                <w:bCs/>
                <w:sz w:val="20"/>
                <w:szCs w:val="20"/>
                <w:lang w:val="ro-RO" w:eastAsia="zh-CN"/>
              </w:rPr>
              <w:t>82,2</w:t>
            </w:r>
          </w:p>
        </w:tc>
      </w:tr>
      <w:tr w:rsidR="00E00CE9" w:rsidRPr="000C6E07" w14:paraId="32A072EA" w14:textId="77777777" w:rsidTr="00E00CE9">
        <w:trPr>
          <w:trHeight w:val="964"/>
        </w:trPr>
        <w:tc>
          <w:tcPr>
            <w:tcW w:w="339" w:type="pct"/>
          </w:tcPr>
          <w:p w14:paraId="6A685553" w14:textId="77777777" w:rsidR="00E00CE9" w:rsidRPr="000C6E07" w:rsidRDefault="00E00CE9" w:rsidP="00E00CE9">
            <w:pPr>
              <w:spacing w:after="0"/>
              <w:rPr>
                <w:sz w:val="20"/>
                <w:szCs w:val="20"/>
                <w:lang w:val="ro-RO" w:eastAsia="ru-RU"/>
              </w:rPr>
            </w:pPr>
            <w:r w:rsidRPr="000C6E07">
              <w:rPr>
                <w:bCs/>
                <w:color w:val="000000"/>
                <w:sz w:val="20"/>
                <w:szCs w:val="20"/>
                <w:lang w:val="ro-RO" w:eastAsia="ru-RU"/>
              </w:rPr>
              <w:t>1.4.</w:t>
            </w:r>
          </w:p>
        </w:tc>
        <w:tc>
          <w:tcPr>
            <w:tcW w:w="1331" w:type="pct"/>
          </w:tcPr>
          <w:p w14:paraId="059031B5" w14:textId="420C5713" w:rsidR="00B93670" w:rsidRPr="00B93670" w:rsidRDefault="00B93670" w:rsidP="00B93670">
            <w:pPr>
              <w:spacing w:after="0"/>
              <w:rPr>
                <w:bCs/>
                <w:kern w:val="2"/>
                <w:sz w:val="20"/>
                <w:szCs w:val="20"/>
                <w:lang w:val="ro-RO" w:eastAsia="ru-RU"/>
              </w:rPr>
            </w:pPr>
            <w:r w:rsidRPr="00B93670">
              <w:rPr>
                <w:bCs/>
                <w:sz w:val="20"/>
                <w:szCs w:val="20"/>
                <w:lang w:val="ro-RO"/>
              </w:rPr>
              <w:t>Obiectivul specific 1.</w:t>
            </w:r>
            <w:r>
              <w:rPr>
                <w:bCs/>
                <w:sz w:val="20"/>
                <w:szCs w:val="20"/>
                <w:lang w:val="ro-RO"/>
              </w:rPr>
              <w:t>4</w:t>
            </w:r>
            <w:r w:rsidRPr="00B93670">
              <w:rPr>
                <w:bCs/>
                <w:sz w:val="20"/>
                <w:szCs w:val="20"/>
                <w:lang w:val="ro-RO"/>
              </w:rPr>
              <w:t>.</w:t>
            </w:r>
          </w:p>
          <w:p w14:paraId="3F9E4764" w14:textId="0F7350EA" w:rsidR="00E00CE9" w:rsidRPr="000C6E07" w:rsidRDefault="00E00CE9" w:rsidP="00E00CE9">
            <w:pPr>
              <w:tabs>
                <w:tab w:val="left" w:pos="0"/>
                <w:tab w:val="left" w:pos="244"/>
                <w:tab w:val="left" w:pos="334"/>
                <w:tab w:val="left" w:pos="424"/>
                <w:tab w:val="left" w:pos="514"/>
              </w:tabs>
              <w:spacing w:after="0"/>
              <w:rPr>
                <w:bCs/>
                <w:color w:val="000000"/>
                <w:sz w:val="20"/>
                <w:szCs w:val="20"/>
                <w:lang w:val="ro-RO" w:eastAsia="ru-RU"/>
              </w:rPr>
            </w:pPr>
            <w:r>
              <w:rPr>
                <w:bCs/>
                <w:color w:val="000000"/>
                <w:sz w:val="20"/>
                <w:szCs w:val="20"/>
                <w:lang w:val="ro-RO" w:eastAsia="ru-RU"/>
              </w:rPr>
              <w:t>C</w:t>
            </w:r>
            <w:r w:rsidRPr="000C6E07">
              <w:rPr>
                <w:bCs/>
                <w:color w:val="000000"/>
                <w:sz w:val="20"/>
                <w:szCs w:val="20"/>
                <w:lang w:val="ro-RO" w:eastAsia="ru-RU"/>
              </w:rPr>
              <w:t>apacit</w:t>
            </w:r>
            <w:r>
              <w:rPr>
                <w:bCs/>
                <w:color w:val="000000"/>
                <w:sz w:val="20"/>
                <w:szCs w:val="20"/>
                <w:lang w:val="ro-RO" w:eastAsia="ru-RU"/>
              </w:rPr>
              <w:t xml:space="preserve">atea îmbunătățită </w:t>
            </w:r>
            <w:r w:rsidRPr="000C6E07">
              <w:rPr>
                <w:bCs/>
                <w:color w:val="000000"/>
                <w:sz w:val="20"/>
                <w:szCs w:val="20"/>
                <w:lang w:val="ro-RO" w:eastAsia="ru-RU"/>
              </w:rPr>
              <w:t>de reacționare rapidă a serviciilor de ordine și securitate publică până în anul 2030</w:t>
            </w:r>
          </w:p>
        </w:tc>
        <w:tc>
          <w:tcPr>
            <w:tcW w:w="1463" w:type="pct"/>
            <w:vAlign w:val="center"/>
          </w:tcPr>
          <w:p w14:paraId="362592EF" w14:textId="187EFD26" w:rsidR="00E00CE9" w:rsidRPr="008A243D" w:rsidRDefault="00E00CE9" w:rsidP="00E00CE9">
            <w:pPr>
              <w:spacing w:after="0"/>
              <w:jc w:val="both"/>
              <w:rPr>
                <w:rFonts w:eastAsia="Calibri"/>
                <w:bCs/>
                <w:sz w:val="20"/>
                <w:szCs w:val="20"/>
                <w:lang w:val="ro-RO" w:eastAsia="zh-CN"/>
              </w:rPr>
            </w:pPr>
            <w:r>
              <w:rPr>
                <w:rFonts w:eastAsia="Calibri"/>
                <w:bCs/>
                <w:sz w:val="20"/>
                <w:szCs w:val="20"/>
                <w:lang w:val="ro-RO" w:eastAsia="zh-CN"/>
              </w:rPr>
              <w:t>Diminuarea t</w:t>
            </w:r>
            <w:r w:rsidRPr="00FC3E3B">
              <w:rPr>
                <w:rFonts w:eastAsia="Calibri"/>
                <w:bCs/>
                <w:sz w:val="20"/>
                <w:szCs w:val="20"/>
                <w:lang w:val="ro-RO" w:eastAsia="zh-CN"/>
              </w:rPr>
              <w:t>impul</w:t>
            </w:r>
            <w:r>
              <w:rPr>
                <w:rFonts w:eastAsia="Calibri"/>
                <w:bCs/>
                <w:sz w:val="20"/>
                <w:szCs w:val="20"/>
                <w:lang w:val="ro-RO" w:eastAsia="zh-CN"/>
              </w:rPr>
              <w:t>ui</w:t>
            </w:r>
            <w:r w:rsidRPr="00FC3E3B">
              <w:rPr>
                <w:rFonts w:eastAsia="Calibri"/>
                <w:bCs/>
                <w:sz w:val="20"/>
                <w:szCs w:val="20"/>
                <w:lang w:val="ro-RO" w:eastAsia="zh-CN"/>
              </w:rPr>
              <w:t xml:space="preserve"> mediu de intervenție la apelurile 112 cu 1</w:t>
            </w:r>
            <w:r>
              <w:rPr>
                <w:rFonts w:eastAsia="Calibri"/>
                <w:bCs/>
                <w:sz w:val="20"/>
                <w:szCs w:val="20"/>
                <w:lang w:val="ro-RO" w:eastAsia="zh-CN"/>
              </w:rPr>
              <w:t>7</w:t>
            </w:r>
            <w:r w:rsidRPr="00FC3E3B">
              <w:rPr>
                <w:rFonts w:eastAsia="Calibri"/>
                <w:bCs/>
                <w:sz w:val="20"/>
                <w:szCs w:val="20"/>
                <w:lang w:val="ro-RO" w:eastAsia="zh-CN"/>
              </w:rPr>
              <w:t xml:space="preserve"> minute până la sfârșitul anului 20</w:t>
            </w:r>
            <w:r>
              <w:rPr>
                <w:rFonts w:eastAsia="Calibri"/>
                <w:bCs/>
                <w:sz w:val="20"/>
                <w:szCs w:val="20"/>
                <w:lang w:val="ro-RO" w:eastAsia="zh-CN"/>
              </w:rPr>
              <w:t>30</w:t>
            </w:r>
          </w:p>
        </w:tc>
        <w:tc>
          <w:tcPr>
            <w:tcW w:w="755" w:type="pct"/>
            <w:vAlign w:val="center"/>
          </w:tcPr>
          <w:p w14:paraId="5A8298DD" w14:textId="15DF010B" w:rsidR="00E00CE9" w:rsidRPr="008A243D" w:rsidRDefault="00E00CE9" w:rsidP="00E00CE9">
            <w:pPr>
              <w:spacing w:after="0"/>
              <w:jc w:val="center"/>
              <w:rPr>
                <w:rFonts w:eastAsia="Calibri"/>
                <w:bCs/>
                <w:sz w:val="20"/>
                <w:szCs w:val="20"/>
                <w:lang w:val="ro-RO" w:eastAsia="zh-CN"/>
              </w:rPr>
            </w:pPr>
            <w:r>
              <w:rPr>
                <w:rFonts w:eastAsia="Calibri"/>
                <w:bCs/>
                <w:sz w:val="20"/>
                <w:szCs w:val="20"/>
                <w:lang w:val="ro-RO" w:eastAsia="zh-CN"/>
              </w:rPr>
              <w:t>31,5 min.</w:t>
            </w:r>
          </w:p>
        </w:tc>
        <w:tc>
          <w:tcPr>
            <w:tcW w:w="621" w:type="pct"/>
            <w:vAlign w:val="center"/>
          </w:tcPr>
          <w:p w14:paraId="062D04D3" w14:textId="0BC6958D" w:rsidR="00E00CE9" w:rsidRDefault="00E00CE9" w:rsidP="00E00CE9">
            <w:pPr>
              <w:spacing w:after="0"/>
              <w:jc w:val="center"/>
              <w:rPr>
                <w:rFonts w:eastAsia="Calibri"/>
                <w:bCs/>
                <w:sz w:val="20"/>
                <w:szCs w:val="20"/>
                <w:lang w:val="ro-RO" w:eastAsia="zh-CN"/>
              </w:rPr>
            </w:pPr>
            <w:r>
              <w:rPr>
                <w:rFonts w:eastAsia="Calibri"/>
                <w:bCs/>
                <w:sz w:val="20"/>
                <w:szCs w:val="20"/>
                <w:lang w:val="ro-RO" w:eastAsia="zh-CN"/>
              </w:rPr>
              <w:t>23,2 min.</w:t>
            </w:r>
          </w:p>
        </w:tc>
        <w:tc>
          <w:tcPr>
            <w:tcW w:w="491" w:type="pct"/>
            <w:vAlign w:val="center"/>
          </w:tcPr>
          <w:p w14:paraId="5F2F3F68" w14:textId="3D58792A" w:rsidR="00E00CE9" w:rsidRPr="008A243D" w:rsidRDefault="00E00CE9" w:rsidP="00E00CE9">
            <w:pPr>
              <w:spacing w:after="0"/>
              <w:jc w:val="center"/>
              <w:rPr>
                <w:rFonts w:eastAsia="Calibri"/>
                <w:bCs/>
                <w:sz w:val="20"/>
                <w:szCs w:val="20"/>
                <w:lang w:val="ro-RO" w:eastAsia="zh-CN"/>
              </w:rPr>
            </w:pPr>
            <w:r>
              <w:rPr>
                <w:rFonts w:eastAsia="Calibri"/>
                <w:bCs/>
                <w:sz w:val="20"/>
                <w:szCs w:val="20"/>
                <w:lang w:val="ro-RO" w:eastAsia="zh-CN"/>
              </w:rPr>
              <w:t>15 min.</w:t>
            </w:r>
          </w:p>
        </w:tc>
      </w:tr>
      <w:tr w:rsidR="00E00CE9" w:rsidRPr="000C6E07" w14:paraId="3926CC58" w14:textId="77777777" w:rsidTr="00E00CE9">
        <w:trPr>
          <w:trHeight w:val="682"/>
        </w:trPr>
        <w:tc>
          <w:tcPr>
            <w:tcW w:w="339" w:type="pct"/>
            <w:vMerge w:val="restart"/>
          </w:tcPr>
          <w:p w14:paraId="506557B2" w14:textId="77777777" w:rsidR="00E00CE9" w:rsidRPr="000C6E07" w:rsidRDefault="00E00CE9" w:rsidP="00E00CE9">
            <w:pPr>
              <w:spacing w:after="0"/>
              <w:rPr>
                <w:sz w:val="20"/>
                <w:szCs w:val="20"/>
                <w:lang w:val="ro-RO" w:eastAsia="ru-RU"/>
              </w:rPr>
            </w:pPr>
            <w:r w:rsidRPr="000C6E07">
              <w:rPr>
                <w:rFonts w:eastAsia="Calibri"/>
                <w:bCs/>
                <w:color w:val="000000"/>
                <w:sz w:val="20"/>
                <w:szCs w:val="20"/>
                <w:lang w:val="ro-RO" w:eastAsia="zh-CN"/>
              </w:rPr>
              <w:t>1.5.</w:t>
            </w:r>
          </w:p>
        </w:tc>
        <w:tc>
          <w:tcPr>
            <w:tcW w:w="1331" w:type="pct"/>
            <w:vMerge w:val="restart"/>
          </w:tcPr>
          <w:p w14:paraId="6B530003" w14:textId="75AF334B" w:rsidR="00B93670" w:rsidRPr="00B93670" w:rsidRDefault="00B93670" w:rsidP="00B93670">
            <w:pPr>
              <w:spacing w:after="0"/>
              <w:rPr>
                <w:bCs/>
                <w:kern w:val="2"/>
                <w:sz w:val="20"/>
                <w:szCs w:val="20"/>
                <w:lang w:val="ro-RO" w:eastAsia="ru-RU"/>
              </w:rPr>
            </w:pPr>
            <w:r w:rsidRPr="00B93670">
              <w:rPr>
                <w:bCs/>
                <w:sz w:val="20"/>
                <w:szCs w:val="20"/>
                <w:lang w:val="ro-RO"/>
              </w:rPr>
              <w:t>Obiectivul specific 1.</w:t>
            </w:r>
            <w:r>
              <w:rPr>
                <w:bCs/>
                <w:sz w:val="20"/>
                <w:szCs w:val="20"/>
                <w:lang w:val="ro-RO"/>
              </w:rPr>
              <w:t>5</w:t>
            </w:r>
            <w:r w:rsidRPr="00B93670">
              <w:rPr>
                <w:bCs/>
                <w:sz w:val="20"/>
                <w:szCs w:val="20"/>
                <w:lang w:val="ro-RO"/>
              </w:rPr>
              <w:t>.</w:t>
            </w:r>
          </w:p>
          <w:p w14:paraId="5AE21597" w14:textId="6E753E01" w:rsidR="00E00CE9" w:rsidRPr="000C6E07" w:rsidRDefault="00E00CE9" w:rsidP="00E00CE9">
            <w:pPr>
              <w:spacing w:after="0"/>
              <w:rPr>
                <w:bCs/>
                <w:color w:val="000000"/>
                <w:sz w:val="20"/>
                <w:szCs w:val="20"/>
                <w:lang w:val="ro-RO" w:eastAsia="ru-RU"/>
              </w:rPr>
            </w:pPr>
            <w:r>
              <w:rPr>
                <w:bCs/>
                <w:color w:val="000000"/>
                <w:kern w:val="2"/>
                <w:sz w:val="20"/>
                <w:szCs w:val="20"/>
                <w:lang w:val="ro-RO" w:eastAsia="ru-RU"/>
              </w:rPr>
              <w:t>I</w:t>
            </w:r>
            <w:r w:rsidRPr="000C6E07">
              <w:rPr>
                <w:bCs/>
                <w:color w:val="000000"/>
                <w:kern w:val="2"/>
                <w:sz w:val="20"/>
                <w:szCs w:val="20"/>
                <w:lang w:val="ro-RO" w:eastAsia="ru-RU"/>
              </w:rPr>
              <w:t>nfrastructur</w:t>
            </w:r>
            <w:r>
              <w:rPr>
                <w:bCs/>
                <w:color w:val="000000"/>
                <w:kern w:val="2"/>
                <w:sz w:val="20"/>
                <w:szCs w:val="20"/>
                <w:lang w:val="ro-RO" w:eastAsia="ru-RU"/>
              </w:rPr>
              <w:t>ă</w:t>
            </w:r>
            <w:r w:rsidRPr="000C6E07">
              <w:rPr>
                <w:bCs/>
                <w:color w:val="000000"/>
                <w:kern w:val="2"/>
                <w:sz w:val="20"/>
                <w:szCs w:val="20"/>
                <w:lang w:val="ro-RO" w:eastAsia="ru-RU"/>
              </w:rPr>
              <w:t xml:space="preserve"> și dotări</w:t>
            </w:r>
            <w:r>
              <w:rPr>
                <w:bCs/>
                <w:color w:val="000000"/>
                <w:kern w:val="2"/>
                <w:sz w:val="20"/>
                <w:szCs w:val="20"/>
                <w:lang w:val="ro-RO" w:eastAsia="ru-RU"/>
              </w:rPr>
              <w:t xml:space="preserve"> ale </w:t>
            </w:r>
            <w:r w:rsidRPr="000C6E07">
              <w:rPr>
                <w:bCs/>
                <w:color w:val="000000"/>
                <w:kern w:val="2"/>
                <w:sz w:val="20"/>
                <w:szCs w:val="20"/>
                <w:lang w:val="ro-RO" w:eastAsia="ru-RU"/>
              </w:rPr>
              <w:t xml:space="preserve"> serviciilor de ordine și securitate publică în zona de securitate </w:t>
            </w:r>
            <w:r>
              <w:rPr>
                <w:bCs/>
                <w:color w:val="000000"/>
                <w:kern w:val="2"/>
                <w:sz w:val="20"/>
                <w:szCs w:val="20"/>
                <w:lang w:val="ro-RO" w:eastAsia="ru-RU"/>
              </w:rPr>
              <w:t xml:space="preserve">modernizate </w:t>
            </w:r>
            <w:r w:rsidRPr="000C6E07">
              <w:rPr>
                <w:bCs/>
                <w:color w:val="000000"/>
                <w:kern w:val="2"/>
                <w:sz w:val="20"/>
                <w:szCs w:val="20"/>
                <w:lang w:val="ro-RO" w:eastAsia="ru-RU"/>
              </w:rPr>
              <w:t>până în anul 2030</w:t>
            </w:r>
          </w:p>
        </w:tc>
        <w:tc>
          <w:tcPr>
            <w:tcW w:w="1463" w:type="pct"/>
            <w:vAlign w:val="center"/>
          </w:tcPr>
          <w:p w14:paraId="2E631819" w14:textId="77777777" w:rsidR="00E00CE9" w:rsidRPr="000C6E07" w:rsidRDefault="00E00CE9" w:rsidP="00E00CE9">
            <w:pPr>
              <w:spacing w:after="0"/>
              <w:jc w:val="both"/>
              <w:rPr>
                <w:bCs/>
                <w:sz w:val="20"/>
                <w:szCs w:val="20"/>
                <w:lang w:val="ro-RO" w:eastAsia="ru-RU"/>
              </w:rPr>
            </w:pPr>
            <w:r w:rsidRPr="000C6E07">
              <w:rPr>
                <w:rFonts w:eastAsia="Calibri"/>
                <w:bCs/>
                <w:sz w:val="20"/>
                <w:szCs w:val="20"/>
                <w:lang w:val="ro-RO" w:eastAsia="zh-CN"/>
              </w:rPr>
              <w:t>Dotarea cu echipament modern a 91% din posturile vamale interne de control</w:t>
            </w:r>
          </w:p>
        </w:tc>
        <w:tc>
          <w:tcPr>
            <w:tcW w:w="755" w:type="pct"/>
            <w:vAlign w:val="center"/>
          </w:tcPr>
          <w:p w14:paraId="2AA0538C" w14:textId="77777777" w:rsidR="00E00CE9" w:rsidRPr="000C6E07" w:rsidRDefault="00E00CE9" w:rsidP="00E00CE9">
            <w:pPr>
              <w:spacing w:after="0"/>
              <w:jc w:val="center"/>
              <w:rPr>
                <w:bCs/>
                <w:sz w:val="20"/>
                <w:szCs w:val="20"/>
                <w:lang w:val="ro-RO" w:eastAsia="ru-RU"/>
              </w:rPr>
            </w:pPr>
            <w:r w:rsidRPr="000C6E07">
              <w:rPr>
                <w:bCs/>
                <w:sz w:val="20"/>
                <w:szCs w:val="20"/>
                <w:lang w:val="ro-RO" w:eastAsia="ru-RU"/>
              </w:rPr>
              <w:t xml:space="preserve">9% </w:t>
            </w:r>
          </w:p>
        </w:tc>
        <w:tc>
          <w:tcPr>
            <w:tcW w:w="621" w:type="pct"/>
            <w:vAlign w:val="center"/>
          </w:tcPr>
          <w:p w14:paraId="1E7E7EDB" w14:textId="75A4FE82" w:rsidR="00E00CE9" w:rsidRPr="000C6E07" w:rsidRDefault="00E00CE9" w:rsidP="00E00CE9">
            <w:pPr>
              <w:spacing w:after="0"/>
              <w:jc w:val="center"/>
              <w:rPr>
                <w:bCs/>
                <w:sz w:val="20"/>
                <w:szCs w:val="20"/>
                <w:lang w:val="ro-RO" w:eastAsia="ru-RU"/>
              </w:rPr>
            </w:pPr>
            <w:r>
              <w:rPr>
                <w:bCs/>
                <w:sz w:val="20"/>
                <w:szCs w:val="20"/>
                <w:lang w:val="ro-RO" w:eastAsia="ru-RU"/>
              </w:rPr>
              <w:t>50%</w:t>
            </w:r>
          </w:p>
        </w:tc>
        <w:tc>
          <w:tcPr>
            <w:tcW w:w="491" w:type="pct"/>
            <w:vAlign w:val="center"/>
          </w:tcPr>
          <w:p w14:paraId="63B1DAE1" w14:textId="081EBE7D" w:rsidR="00E00CE9" w:rsidRPr="000C6E07" w:rsidRDefault="00E00CE9" w:rsidP="00E00CE9">
            <w:pPr>
              <w:spacing w:after="0"/>
              <w:jc w:val="center"/>
              <w:rPr>
                <w:bCs/>
                <w:sz w:val="20"/>
                <w:szCs w:val="20"/>
                <w:lang w:val="ro-RO" w:eastAsia="ru-RU"/>
              </w:rPr>
            </w:pPr>
            <w:r w:rsidRPr="000C6E07">
              <w:rPr>
                <w:bCs/>
                <w:sz w:val="20"/>
                <w:szCs w:val="20"/>
                <w:lang w:val="ro-RO" w:eastAsia="ru-RU"/>
              </w:rPr>
              <w:t>100%</w:t>
            </w:r>
          </w:p>
        </w:tc>
      </w:tr>
      <w:tr w:rsidR="00E00CE9" w:rsidRPr="000C6E07" w14:paraId="0BE433C6" w14:textId="77777777" w:rsidTr="00E00CE9">
        <w:trPr>
          <w:trHeight w:val="283"/>
        </w:trPr>
        <w:tc>
          <w:tcPr>
            <w:tcW w:w="339" w:type="pct"/>
            <w:vMerge/>
          </w:tcPr>
          <w:p w14:paraId="207A274F" w14:textId="77777777" w:rsidR="00E00CE9" w:rsidRPr="000C6E07" w:rsidRDefault="00E00CE9" w:rsidP="00E00CE9">
            <w:pPr>
              <w:spacing w:after="0"/>
              <w:rPr>
                <w:rFonts w:eastAsia="Calibri"/>
                <w:bCs/>
                <w:color w:val="000000"/>
                <w:sz w:val="20"/>
                <w:szCs w:val="20"/>
                <w:lang w:val="ro-RO" w:eastAsia="zh-CN"/>
              </w:rPr>
            </w:pPr>
          </w:p>
        </w:tc>
        <w:tc>
          <w:tcPr>
            <w:tcW w:w="1331" w:type="pct"/>
            <w:vMerge/>
          </w:tcPr>
          <w:p w14:paraId="0942C54A" w14:textId="77777777" w:rsidR="00E00CE9" w:rsidRPr="000C6E07" w:rsidRDefault="00E00CE9" w:rsidP="00E00CE9">
            <w:pPr>
              <w:spacing w:after="0"/>
              <w:rPr>
                <w:rFonts w:eastAsia="Calibri"/>
                <w:bCs/>
                <w:color w:val="000000"/>
                <w:sz w:val="20"/>
                <w:szCs w:val="20"/>
                <w:lang w:val="ro-RO" w:eastAsia="zh-CN"/>
              </w:rPr>
            </w:pPr>
          </w:p>
        </w:tc>
        <w:tc>
          <w:tcPr>
            <w:tcW w:w="1463" w:type="pct"/>
            <w:vAlign w:val="center"/>
          </w:tcPr>
          <w:p w14:paraId="61975536" w14:textId="77777777" w:rsidR="00E00CE9" w:rsidRPr="000C6E07" w:rsidRDefault="00E00CE9" w:rsidP="00E00CE9">
            <w:pPr>
              <w:spacing w:after="0"/>
              <w:jc w:val="both"/>
              <w:rPr>
                <w:rFonts w:eastAsia="Calibri"/>
                <w:bCs/>
                <w:sz w:val="20"/>
                <w:szCs w:val="20"/>
                <w:lang w:val="ro-RO" w:eastAsia="zh-CN"/>
              </w:rPr>
            </w:pPr>
            <w:r w:rsidRPr="000C6E07">
              <w:rPr>
                <w:rFonts w:eastAsia="Calibri"/>
                <w:bCs/>
                <w:sz w:val="20"/>
                <w:szCs w:val="20"/>
                <w:lang w:val="ro-RO" w:eastAsia="zh-CN"/>
              </w:rPr>
              <w:t>Infrastructura modernizată și dotarea asigurată până la 80% din sediile inspectoratelor și sectoarelor de poliție</w:t>
            </w:r>
          </w:p>
        </w:tc>
        <w:tc>
          <w:tcPr>
            <w:tcW w:w="755" w:type="pct"/>
            <w:vAlign w:val="center"/>
          </w:tcPr>
          <w:p w14:paraId="05ACF4B4" w14:textId="77777777" w:rsidR="00E00CE9" w:rsidRPr="000C6E07" w:rsidRDefault="00E00CE9" w:rsidP="00E00CE9">
            <w:pPr>
              <w:spacing w:after="0"/>
              <w:jc w:val="center"/>
              <w:rPr>
                <w:rFonts w:eastAsia="Calibri"/>
                <w:bCs/>
                <w:color w:val="000000"/>
                <w:sz w:val="20"/>
                <w:szCs w:val="20"/>
                <w:lang w:val="ro-RO" w:eastAsia="zh-CN"/>
              </w:rPr>
            </w:pPr>
            <w:r w:rsidRPr="000C6E07">
              <w:rPr>
                <w:rFonts w:eastAsia="Calibri"/>
                <w:bCs/>
                <w:color w:val="000000"/>
                <w:sz w:val="20"/>
                <w:szCs w:val="20"/>
                <w:lang w:val="ro-RO" w:eastAsia="zh-CN"/>
              </w:rPr>
              <w:t>11%</w:t>
            </w:r>
          </w:p>
        </w:tc>
        <w:tc>
          <w:tcPr>
            <w:tcW w:w="621" w:type="pct"/>
            <w:vAlign w:val="center"/>
          </w:tcPr>
          <w:p w14:paraId="125BED91" w14:textId="74C1F8C5" w:rsidR="00E00CE9" w:rsidRPr="000C6E07" w:rsidRDefault="00E00CE9" w:rsidP="00E00CE9">
            <w:pPr>
              <w:spacing w:after="0"/>
              <w:jc w:val="center"/>
              <w:rPr>
                <w:rFonts w:eastAsia="Calibri"/>
                <w:bCs/>
                <w:color w:val="000000"/>
                <w:sz w:val="20"/>
                <w:szCs w:val="20"/>
                <w:lang w:val="ro-RO" w:eastAsia="zh-CN"/>
              </w:rPr>
            </w:pPr>
            <w:r>
              <w:rPr>
                <w:rFonts w:eastAsia="Calibri"/>
                <w:bCs/>
                <w:color w:val="000000"/>
                <w:sz w:val="20"/>
                <w:szCs w:val="20"/>
                <w:lang w:val="ro-RO" w:eastAsia="zh-CN"/>
              </w:rPr>
              <w:t>40%</w:t>
            </w:r>
          </w:p>
        </w:tc>
        <w:tc>
          <w:tcPr>
            <w:tcW w:w="491" w:type="pct"/>
            <w:vAlign w:val="center"/>
          </w:tcPr>
          <w:p w14:paraId="57344913" w14:textId="75D548EF" w:rsidR="00E00CE9" w:rsidRPr="000C6E07" w:rsidRDefault="00E00CE9" w:rsidP="00E00CE9">
            <w:pPr>
              <w:spacing w:after="0"/>
              <w:jc w:val="center"/>
              <w:rPr>
                <w:rFonts w:eastAsia="Calibri"/>
                <w:bCs/>
                <w:color w:val="000000"/>
                <w:sz w:val="20"/>
                <w:szCs w:val="20"/>
                <w:lang w:val="ro-RO" w:eastAsia="zh-CN"/>
              </w:rPr>
            </w:pPr>
            <w:r w:rsidRPr="000C6E07">
              <w:rPr>
                <w:rFonts w:eastAsia="Calibri"/>
                <w:bCs/>
                <w:color w:val="000000"/>
                <w:sz w:val="20"/>
                <w:szCs w:val="20"/>
                <w:lang w:val="ro-RO" w:eastAsia="zh-CN"/>
              </w:rPr>
              <w:t>80%</w:t>
            </w:r>
          </w:p>
        </w:tc>
      </w:tr>
      <w:tr w:rsidR="00E00CE9" w:rsidRPr="000C6E07" w14:paraId="2B8745FF" w14:textId="77777777" w:rsidTr="00E00CE9">
        <w:trPr>
          <w:trHeight w:val="283"/>
        </w:trPr>
        <w:tc>
          <w:tcPr>
            <w:tcW w:w="339" w:type="pct"/>
          </w:tcPr>
          <w:p w14:paraId="53EEA5AD" w14:textId="6107042B" w:rsidR="00E00CE9" w:rsidRPr="000C6E07" w:rsidRDefault="00E00CE9" w:rsidP="00E00CE9">
            <w:pPr>
              <w:spacing w:after="0"/>
              <w:rPr>
                <w:rFonts w:eastAsia="Calibri"/>
                <w:bCs/>
                <w:color w:val="000000"/>
                <w:sz w:val="20"/>
                <w:szCs w:val="20"/>
                <w:lang w:val="ro-RO" w:eastAsia="zh-CN"/>
              </w:rPr>
            </w:pPr>
            <w:r w:rsidRPr="000C6E07">
              <w:rPr>
                <w:rFonts w:eastAsia="Calibri"/>
                <w:bCs/>
                <w:color w:val="000000"/>
                <w:sz w:val="20"/>
                <w:szCs w:val="20"/>
                <w:lang w:val="ro-RO" w:eastAsia="zh-CN"/>
              </w:rPr>
              <w:t>1.6</w:t>
            </w:r>
          </w:p>
        </w:tc>
        <w:tc>
          <w:tcPr>
            <w:tcW w:w="1331" w:type="pct"/>
          </w:tcPr>
          <w:p w14:paraId="5613D9D6" w14:textId="286CE55E" w:rsidR="00B93670" w:rsidRDefault="00B93670" w:rsidP="00E00CE9">
            <w:pPr>
              <w:spacing w:after="0"/>
              <w:rPr>
                <w:rFonts w:eastAsia="Calibri"/>
                <w:bCs/>
                <w:color w:val="000000"/>
                <w:sz w:val="20"/>
                <w:szCs w:val="20"/>
                <w:lang w:val="ro-RO" w:eastAsia="zh-CN"/>
              </w:rPr>
            </w:pPr>
            <w:r w:rsidRPr="00B93670">
              <w:rPr>
                <w:rFonts w:eastAsia="Calibri"/>
                <w:bCs/>
                <w:color w:val="000000"/>
                <w:sz w:val="20"/>
                <w:szCs w:val="20"/>
                <w:lang w:val="ro-RO" w:eastAsia="zh-CN"/>
              </w:rPr>
              <w:t>Obiectivul specific 1.</w:t>
            </w:r>
            <w:r>
              <w:rPr>
                <w:rFonts w:eastAsia="Calibri"/>
                <w:bCs/>
                <w:color w:val="000000"/>
                <w:sz w:val="20"/>
                <w:szCs w:val="20"/>
                <w:lang w:val="ro-RO" w:eastAsia="zh-CN"/>
              </w:rPr>
              <w:t>6</w:t>
            </w:r>
            <w:r w:rsidRPr="00B93670">
              <w:rPr>
                <w:rFonts w:eastAsia="Calibri"/>
                <w:bCs/>
                <w:color w:val="000000"/>
                <w:sz w:val="20"/>
                <w:szCs w:val="20"/>
                <w:lang w:val="ro-RO" w:eastAsia="zh-CN"/>
              </w:rPr>
              <w:t>.</w:t>
            </w:r>
          </w:p>
          <w:p w14:paraId="0556B4C5" w14:textId="5D4FB65C" w:rsidR="00E00CE9" w:rsidRPr="000C6E07" w:rsidRDefault="00E00CE9" w:rsidP="00E00CE9">
            <w:pPr>
              <w:spacing w:after="0"/>
              <w:rPr>
                <w:rFonts w:eastAsia="Calibri"/>
                <w:bCs/>
                <w:color w:val="000000"/>
                <w:sz w:val="20"/>
                <w:szCs w:val="20"/>
                <w:lang w:val="ro-RO" w:eastAsia="zh-CN"/>
              </w:rPr>
            </w:pPr>
            <w:r>
              <w:rPr>
                <w:rFonts w:eastAsia="Calibri"/>
                <w:bCs/>
                <w:color w:val="000000"/>
                <w:sz w:val="20"/>
                <w:szCs w:val="20"/>
                <w:lang w:val="ro-RO" w:eastAsia="zh-CN"/>
              </w:rPr>
              <w:t xml:space="preserve">Protecția și reziliența </w:t>
            </w:r>
            <w:r w:rsidRPr="000C6E07">
              <w:rPr>
                <w:rFonts w:eastAsia="Calibri"/>
                <w:bCs/>
                <w:color w:val="000000"/>
                <w:sz w:val="20"/>
                <w:szCs w:val="20"/>
                <w:lang w:val="ro-RO" w:eastAsia="zh-CN"/>
              </w:rPr>
              <w:t xml:space="preserve">infrastructurilor critice naționale și </w:t>
            </w:r>
            <w:r>
              <w:rPr>
                <w:rFonts w:eastAsia="Calibri"/>
                <w:bCs/>
                <w:color w:val="000000"/>
                <w:sz w:val="20"/>
                <w:szCs w:val="20"/>
                <w:lang w:val="ro-RO" w:eastAsia="zh-CN"/>
              </w:rPr>
              <w:t xml:space="preserve">a </w:t>
            </w:r>
            <w:r w:rsidRPr="000C6E07">
              <w:rPr>
                <w:rFonts w:eastAsia="Calibri"/>
                <w:bCs/>
                <w:color w:val="000000"/>
                <w:sz w:val="20"/>
                <w:szCs w:val="20"/>
                <w:lang w:val="ro-RO" w:eastAsia="zh-CN"/>
              </w:rPr>
              <w:t xml:space="preserve">entităților critice, </w:t>
            </w:r>
            <w:r>
              <w:rPr>
                <w:rFonts w:eastAsia="Calibri"/>
                <w:bCs/>
                <w:color w:val="000000"/>
                <w:sz w:val="20"/>
                <w:szCs w:val="20"/>
                <w:lang w:val="ro-RO" w:eastAsia="zh-CN"/>
              </w:rPr>
              <w:t xml:space="preserve">asigurată </w:t>
            </w:r>
            <w:r w:rsidRPr="000C6E07">
              <w:rPr>
                <w:rFonts w:eastAsia="Calibri"/>
                <w:bCs/>
                <w:color w:val="000000"/>
                <w:sz w:val="20"/>
                <w:szCs w:val="20"/>
                <w:lang w:val="ro-RO" w:eastAsia="zh-CN"/>
              </w:rPr>
              <w:t xml:space="preserve">în conformitate cu standardele </w:t>
            </w:r>
            <w:r w:rsidRPr="000C6E07">
              <w:rPr>
                <w:rFonts w:eastAsia="Calibri"/>
                <w:bCs/>
                <w:color w:val="000000"/>
                <w:sz w:val="20"/>
                <w:szCs w:val="20"/>
                <w:lang w:val="ro-RO" w:eastAsia="zh-CN"/>
              </w:rPr>
              <w:lastRenderedPageBreak/>
              <w:t>Uniunii Europene, până în anul 2030</w:t>
            </w:r>
          </w:p>
        </w:tc>
        <w:tc>
          <w:tcPr>
            <w:tcW w:w="1463" w:type="pct"/>
            <w:vAlign w:val="center"/>
          </w:tcPr>
          <w:p w14:paraId="6A6191A7" w14:textId="3A144FF8" w:rsidR="00E00CE9" w:rsidRPr="000C6E07" w:rsidRDefault="00E00CE9" w:rsidP="00E00CE9">
            <w:pPr>
              <w:spacing w:after="0"/>
              <w:jc w:val="both"/>
              <w:rPr>
                <w:rFonts w:eastAsia="Calibri"/>
                <w:bCs/>
                <w:sz w:val="20"/>
                <w:szCs w:val="20"/>
                <w:lang w:val="ro-RO" w:eastAsia="zh-CN"/>
              </w:rPr>
            </w:pPr>
            <w:r w:rsidRPr="000C6E07">
              <w:rPr>
                <w:rFonts w:eastAsia="Calibri"/>
                <w:bCs/>
                <w:sz w:val="20"/>
                <w:szCs w:val="20"/>
                <w:lang w:val="ro-RO" w:eastAsia="zh-CN"/>
              </w:rPr>
              <w:lastRenderedPageBreak/>
              <w:t>Adoptarea și implementarea de standarde unice de protecție și reziliență pentru 100% din infrastructurile critice naționale și entitățile critice, până în anul 2030.</w:t>
            </w:r>
          </w:p>
        </w:tc>
        <w:tc>
          <w:tcPr>
            <w:tcW w:w="755" w:type="pct"/>
            <w:vAlign w:val="center"/>
          </w:tcPr>
          <w:p w14:paraId="3C1D9453" w14:textId="4931B15A" w:rsidR="00E00CE9" w:rsidRPr="000C6E07" w:rsidRDefault="00E00CE9" w:rsidP="00E00CE9">
            <w:pPr>
              <w:spacing w:after="0"/>
              <w:jc w:val="center"/>
              <w:rPr>
                <w:rFonts w:eastAsia="Calibri"/>
                <w:bCs/>
                <w:color w:val="000000"/>
                <w:sz w:val="20"/>
                <w:szCs w:val="20"/>
                <w:lang w:val="ro-RO" w:eastAsia="zh-CN"/>
              </w:rPr>
            </w:pPr>
            <w:r w:rsidRPr="000C6E07">
              <w:rPr>
                <w:rFonts w:eastAsia="Calibri"/>
                <w:bCs/>
                <w:color w:val="000000"/>
                <w:sz w:val="20"/>
                <w:szCs w:val="20"/>
                <w:lang w:val="ro-RO" w:eastAsia="zh-CN"/>
              </w:rPr>
              <w:t>0%</w:t>
            </w:r>
          </w:p>
        </w:tc>
        <w:tc>
          <w:tcPr>
            <w:tcW w:w="621" w:type="pct"/>
            <w:vAlign w:val="center"/>
          </w:tcPr>
          <w:p w14:paraId="2E0EB4D7" w14:textId="2FB15D1A" w:rsidR="00E00CE9" w:rsidRPr="000C6E07" w:rsidRDefault="00B93670" w:rsidP="00E00CE9">
            <w:pPr>
              <w:spacing w:after="0"/>
              <w:jc w:val="center"/>
              <w:rPr>
                <w:rFonts w:eastAsia="Calibri"/>
                <w:bCs/>
                <w:color w:val="000000"/>
                <w:sz w:val="20"/>
                <w:szCs w:val="20"/>
                <w:lang w:val="ro-RO" w:eastAsia="zh-CN"/>
              </w:rPr>
            </w:pPr>
            <w:r>
              <w:rPr>
                <w:rFonts w:eastAsia="Calibri"/>
                <w:bCs/>
                <w:color w:val="000000"/>
                <w:sz w:val="20"/>
                <w:szCs w:val="20"/>
                <w:lang w:val="ro-RO" w:eastAsia="zh-CN"/>
              </w:rPr>
              <w:t>50%</w:t>
            </w:r>
          </w:p>
        </w:tc>
        <w:tc>
          <w:tcPr>
            <w:tcW w:w="491" w:type="pct"/>
            <w:vAlign w:val="center"/>
          </w:tcPr>
          <w:p w14:paraId="55D01A21" w14:textId="6BB58726" w:rsidR="00E00CE9" w:rsidRPr="000C6E07" w:rsidRDefault="00E00CE9" w:rsidP="00E00CE9">
            <w:pPr>
              <w:spacing w:after="0"/>
              <w:jc w:val="center"/>
              <w:rPr>
                <w:rFonts w:eastAsia="Calibri"/>
                <w:bCs/>
                <w:color w:val="000000"/>
                <w:sz w:val="20"/>
                <w:szCs w:val="20"/>
                <w:lang w:val="ro-RO" w:eastAsia="zh-CN"/>
              </w:rPr>
            </w:pPr>
            <w:r w:rsidRPr="000C6E07">
              <w:rPr>
                <w:rFonts w:eastAsia="Calibri"/>
                <w:bCs/>
                <w:color w:val="000000"/>
                <w:sz w:val="20"/>
                <w:szCs w:val="20"/>
                <w:lang w:val="ro-RO" w:eastAsia="zh-CN"/>
              </w:rPr>
              <w:t>100%</w:t>
            </w:r>
          </w:p>
        </w:tc>
      </w:tr>
      <w:tr w:rsidR="00E00CE9" w:rsidRPr="000C6E07" w14:paraId="0721BE08" w14:textId="77777777" w:rsidTr="00E00CE9">
        <w:trPr>
          <w:trHeight w:val="283"/>
        </w:trPr>
        <w:tc>
          <w:tcPr>
            <w:tcW w:w="339" w:type="pct"/>
          </w:tcPr>
          <w:p w14:paraId="4204BCD2" w14:textId="77777777" w:rsidR="00E00CE9" w:rsidRPr="000C6E07" w:rsidRDefault="00E00CE9" w:rsidP="00E00CE9">
            <w:pPr>
              <w:spacing w:after="0"/>
              <w:rPr>
                <w:rFonts w:eastAsia="Calibri"/>
                <w:bCs/>
                <w:color w:val="000000"/>
                <w:sz w:val="20"/>
                <w:szCs w:val="20"/>
                <w:lang w:val="ro-RO" w:eastAsia="zh-CN"/>
              </w:rPr>
            </w:pPr>
          </w:p>
        </w:tc>
        <w:tc>
          <w:tcPr>
            <w:tcW w:w="1331" w:type="pct"/>
          </w:tcPr>
          <w:p w14:paraId="07727148" w14:textId="7440A49E" w:rsidR="00E00CE9" w:rsidRDefault="00E00CE9" w:rsidP="00E00CE9">
            <w:pPr>
              <w:spacing w:after="0"/>
              <w:rPr>
                <w:rFonts w:eastAsia="Calibri"/>
                <w:b/>
                <w:color w:val="000000"/>
                <w:sz w:val="20"/>
                <w:szCs w:val="20"/>
                <w:lang w:val="ro-RO" w:eastAsia="zh-CN"/>
              </w:rPr>
            </w:pPr>
            <w:r>
              <w:rPr>
                <w:rFonts w:eastAsia="Calibri"/>
                <w:b/>
                <w:color w:val="000000"/>
                <w:sz w:val="20"/>
                <w:szCs w:val="20"/>
                <w:lang w:val="ro-RO" w:eastAsia="zh-CN"/>
              </w:rPr>
              <w:t>Obiectivul general 2</w:t>
            </w:r>
          </w:p>
          <w:p w14:paraId="4ACCA1A6" w14:textId="1DEC25CA" w:rsidR="00E00CE9" w:rsidRPr="00E00CE9" w:rsidRDefault="00E00CE9" w:rsidP="00E00CE9">
            <w:pPr>
              <w:spacing w:after="0"/>
              <w:rPr>
                <w:rFonts w:eastAsia="Calibri"/>
                <w:b/>
                <w:color w:val="000000"/>
                <w:sz w:val="20"/>
                <w:szCs w:val="20"/>
                <w:lang w:val="ro-RO" w:eastAsia="zh-CN"/>
              </w:rPr>
            </w:pPr>
            <w:r w:rsidRPr="00E00CE9">
              <w:rPr>
                <w:rFonts w:eastAsia="Calibri"/>
                <w:b/>
                <w:color w:val="000000"/>
                <w:sz w:val="20"/>
                <w:szCs w:val="20"/>
                <w:lang w:val="ro-RO" w:eastAsia="zh-CN"/>
              </w:rPr>
              <w:t>Serviciile de ordine și securitate publică aliniate la principiile drepturilor omului</w:t>
            </w:r>
          </w:p>
        </w:tc>
        <w:tc>
          <w:tcPr>
            <w:tcW w:w="1463" w:type="pct"/>
            <w:vAlign w:val="center"/>
          </w:tcPr>
          <w:p w14:paraId="27624395" w14:textId="5148747F" w:rsidR="00E00CE9" w:rsidRPr="00E00CE9" w:rsidRDefault="00E00CE9" w:rsidP="00E00CE9">
            <w:pPr>
              <w:spacing w:after="0"/>
              <w:jc w:val="both"/>
              <w:rPr>
                <w:rFonts w:eastAsia="Calibri"/>
                <w:b/>
                <w:sz w:val="20"/>
                <w:szCs w:val="20"/>
                <w:lang w:val="ro-RO" w:eastAsia="zh-CN"/>
              </w:rPr>
            </w:pPr>
            <w:r w:rsidRPr="00E00CE9">
              <w:rPr>
                <w:rFonts w:eastAsia="Calibri"/>
                <w:b/>
                <w:sz w:val="20"/>
                <w:szCs w:val="20"/>
                <w:lang w:val="ro-RO" w:eastAsia="zh-CN"/>
              </w:rPr>
              <w:t>Numărul cazurilor de tortură, tratamente inumane și degradante, exces de putere, depășirea atribuțiilor de serviciu, vătămare intenționată a integrității corporale sau a sănătății, constrângerea de a face declarații, privațiunea ilegală de libertate (art.1661, 328, 151, 152, 309, 166 CP)</w:t>
            </w:r>
          </w:p>
        </w:tc>
        <w:tc>
          <w:tcPr>
            <w:tcW w:w="755" w:type="pct"/>
            <w:vAlign w:val="center"/>
          </w:tcPr>
          <w:p w14:paraId="7FC782A4" w14:textId="27136174" w:rsidR="00E00CE9" w:rsidRPr="00E00CE9" w:rsidRDefault="00E00CE9" w:rsidP="00E00CE9">
            <w:pPr>
              <w:spacing w:after="0"/>
              <w:jc w:val="center"/>
              <w:rPr>
                <w:rFonts w:eastAsia="Calibri"/>
                <w:b/>
                <w:color w:val="000000"/>
                <w:sz w:val="20"/>
                <w:szCs w:val="20"/>
                <w:lang w:val="ro-RO" w:eastAsia="zh-CN"/>
              </w:rPr>
            </w:pPr>
            <w:r w:rsidRPr="00E00CE9">
              <w:rPr>
                <w:b/>
                <w:sz w:val="20"/>
                <w:szCs w:val="20"/>
                <w:lang w:val="ro-RO" w:eastAsia="ru-RU"/>
              </w:rPr>
              <w:t>24</w:t>
            </w:r>
          </w:p>
        </w:tc>
        <w:tc>
          <w:tcPr>
            <w:tcW w:w="621" w:type="pct"/>
            <w:vAlign w:val="center"/>
          </w:tcPr>
          <w:p w14:paraId="23EBD3C7" w14:textId="2D8E6D71" w:rsidR="00E00CE9" w:rsidRPr="00E00CE9" w:rsidRDefault="00E00CE9" w:rsidP="00E00CE9">
            <w:pPr>
              <w:spacing w:after="0"/>
              <w:jc w:val="center"/>
              <w:rPr>
                <w:rFonts w:eastAsia="Calibri"/>
                <w:b/>
                <w:color w:val="000000"/>
                <w:sz w:val="20"/>
                <w:szCs w:val="20"/>
                <w:lang w:val="ro-RO" w:eastAsia="zh-CN"/>
              </w:rPr>
            </w:pPr>
            <w:r w:rsidRPr="00E00CE9">
              <w:rPr>
                <w:b/>
                <w:sz w:val="20"/>
                <w:szCs w:val="20"/>
                <w:lang w:val="ro-RO" w:eastAsia="ru-RU"/>
              </w:rPr>
              <w:t>20</w:t>
            </w:r>
          </w:p>
        </w:tc>
        <w:tc>
          <w:tcPr>
            <w:tcW w:w="491" w:type="pct"/>
            <w:vAlign w:val="center"/>
          </w:tcPr>
          <w:p w14:paraId="2928390F" w14:textId="4C095AC5" w:rsidR="00E00CE9" w:rsidRPr="00E00CE9" w:rsidRDefault="00E00CE9" w:rsidP="00E00CE9">
            <w:pPr>
              <w:spacing w:after="0"/>
              <w:jc w:val="center"/>
              <w:rPr>
                <w:rFonts w:eastAsia="Calibri"/>
                <w:b/>
                <w:color w:val="000000"/>
                <w:sz w:val="20"/>
                <w:szCs w:val="20"/>
                <w:lang w:val="ro-RO" w:eastAsia="zh-CN"/>
              </w:rPr>
            </w:pPr>
            <w:r w:rsidRPr="00E00CE9">
              <w:rPr>
                <w:b/>
                <w:sz w:val="20"/>
                <w:szCs w:val="20"/>
                <w:lang w:val="ro-RO" w:eastAsia="ru-RU"/>
              </w:rPr>
              <w:t>16</w:t>
            </w:r>
          </w:p>
        </w:tc>
      </w:tr>
      <w:tr w:rsidR="00E00CE9" w:rsidRPr="000C6E07" w14:paraId="24D111B1" w14:textId="77777777" w:rsidTr="00E00CE9">
        <w:trPr>
          <w:trHeight w:val="283"/>
        </w:trPr>
        <w:tc>
          <w:tcPr>
            <w:tcW w:w="339" w:type="pct"/>
          </w:tcPr>
          <w:p w14:paraId="4CA2EC8D" w14:textId="77777777" w:rsidR="00E00CE9" w:rsidRPr="000C6E07" w:rsidRDefault="00E00CE9" w:rsidP="00E00CE9">
            <w:pPr>
              <w:spacing w:after="0"/>
              <w:rPr>
                <w:sz w:val="20"/>
                <w:szCs w:val="20"/>
                <w:lang w:val="ro-RO" w:eastAsia="ru-RU"/>
              </w:rPr>
            </w:pPr>
            <w:r w:rsidRPr="000C6E07">
              <w:rPr>
                <w:rFonts w:eastAsia="Calibri"/>
                <w:bCs/>
                <w:color w:val="000000"/>
                <w:sz w:val="20"/>
                <w:szCs w:val="20"/>
                <w:lang w:val="ro-RO" w:eastAsia="zh-CN"/>
              </w:rPr>
              <w:t>2.1</w:t>
            </w:r>
          </w:p>
        </w:tc>
        <w:tc>
          <w:tcPr>
            <w:tcW w:w="1331" w:type="pct"/>
          </w:tcPr>
          <w:p w14:paraId="00D74F5A" w14:textId="15FB0AE1" w:rsidR="00B93670" w:rsidRPr="00B93670" w:rsidRDefault="00B93670" w:rsidP="00B93670">
            <w:pPr>
              <w:spacing w:after="0"/>
              <w:rPr>
                <w:bCs/>
                <w:kern w:val="2"/>
                <w:sz w:val="20"/>
                <w:szCs w:val="20"/>
                <w:lang w:val="ro-RO" w:eastAsia="ru-RU"/>
              </w:rPr>
            </w:pPr>
            <w:r w:rsidRPr="00B93670">
              <w:rPr>
                <w:bCs/>
                <w:sz w:val="20"/>
                <w:szCs w:val="20"/>
                <w:lang w:val="ro-RO"/>
              </w:rPr>
              <w:t xml:space="preserve">Obiectivul specific </w:t>
            </w:r>
            <w:r>
              <w:rPr>
                <w:bCs/>
                <w:sz w:val="20"/>
                <w:szCs w:val="20"/>
                <w:lang w:val="ro-RO"/>
              </w:rPr>
              <w:t>2</w:t>
            </w:r>
            <w:r w:rsidRPr="00B93670">
              <w:rPr>
                <w:bCs/>
                <w:sz w:val="20"/>
                <w:szCs w:val="20"/>
                <w:lang w:val="ro-RO"/>
              </w:rPr>
              <w:t>.1.</w:t>
            </w:r>
          </w:p>
          <w:p w14:paraId="2159AADA" w14:textId="74A80EB4" w:rsidR="00E00CE9" w:rsidRPr="000C6E07" w:rsidRDefault="00E00CE9" w:rsidP="00E00CE9">
            <w:pPr>
              <w:spacing w:after="0"/>
              <w:rPr>
                <w:bCs/>
                <w:color w:val="000000"/>
                <w:sz w:val="20"/>
                <w:szCs w:val="20"/>
                <w:lang w:val="ro-RO" w:eastAsia="ru-RU"/>
              </w:rPr>
            </w:pPr>
            <w:r>
              <w:rPr>
                <w:rFonts w:eastAsia="Calibri"/>
                <w:bCs/>
                <w:color w:val="000000"/>
                <w:sz w:val="20"/>
                <w:szCs w:val="20"/>
                <w:lang w:val="ro-RO" w:eastAsia="ru-RU"/>
              </w:rPr>
              <w:t>C</w:t>
            </w:r>
            <w:r w:rsidRPr="000C6E07">
              <w:rPr>
                <w:rFonts w:eastAsia="Calibri"/>
                <w:bCs/>
                <w:color w:val="000000"/>
                <w:sz w:val="20"/>
                <w:szCs w:val="20"/>
                <w:lang w:val="ro-RO" w:eastAsia="ru-RU"/>
              </w:rPr>
              <w:t>ondițiil</w:t>
            </w:r>
            <w:r>
              <w:rPr>
                <w:rFonts w:eastAsia="Calibri"/>
                <w:bCs/>
                <w:color w:val="000000"/>
                <w:sz w:val="20"/>
                <w:szCs w:val="20"/>
                <w:lang w:val="ro-RO" w:eastAsia="ru-RU"/>
              </w:rPr>
              <w:t>e</w:t>
            </w:r>
            <w:r w:rsidRPr="000C6E07">
              <w:rPr>
                <w:rFonts w:eastAsia="Calibri"/>
                <w:bCs/>
                <w:color w:val="000000"/>
                <w:sz w:val="20"/>
                <w:szCs w:val="20"/>
                <w:lang w:val="ro-RO" w:eastAsia="ru-RU"/>
              </w:rPr>
              <w:t xml:space="preserve"> de prestare a serviciilor de ordine și securitate publică </w:t>
            </w:r>
            <w:r>
              <w:rPr>
                <w:rFonts w:eastAsia="Calibri"/>
                <w:bCs/>
                <w:color w:val="000000"/>
                <w:sz w:val="20"/>
                <w:szCs w:val="20"/>
                <w:lang w:val="ro-RO" w:eastAsia="ru-RU"/>
              </w:rPr>
              <w:t xml:space="preserve">aliniate </w:t>
            </w:r>
            <w:r w:rsidRPr="000C6E07">
              <w:rPr>
                <w:rFonts w:eastAsia="Calibri"/>
                <w:bCs/>
                <w:color w:val="000000"/>
                <w:sz w:val="20"/>
                <w:szCs w:val="20"/>
                <w:lang w:val="ro-RO" w:eastAsia="ru-RU"/>
              </w:rPr>
              <w:t>la standardele drepturilor omului până în anul 2030</w:t>
            </w:r>
          </w:p>
        </w:tc>
        <w:tc>
          <w:tcPr>
            <w:tcW w:w="1463" w:type="pct"/>
            <w:vAlign w:val="center"/>
          </w:tcPr>
          <w:p w14:paraId="07FC2791" w14:textId="77777777" w:rsidR="00E00CE9" w:rsidRPr="000C6E07" w:rsidRDefault="00E00CE9" w:rsidP="00E00CE9">
            <w:pPr>
              <w:spacing w:after="0"/>
              <w:jc w:val="both"/>
              <w:rPr>
                <w:rFonts w:eastAsia="Calibri"/>
                <w:bCs/>
                <w:sz w:val="20"/>
                <w:szCs w:val="20"/>
                <w:lang w:val="ro-RO" w:eastAsia="zh-CN"/>
              </w:rPr>
            </w:pPr>
            <w:r w:rsidRPr="000C6E07">
              <w:rPr>
                <w:rFonts w:eastAsia="Calibri"/>
                <w:bCs/>
                <w:sz w:val="20"/>
                <w:szCs w:val="20"/>
                <w:lang w:val="ro-RO" w:eastAsia="zh-CN"/>
              </w:rPr>
              <w:t xml:space="preserve">Creșterea cu 61 </w:t>
            </w:r>
            <w:proofErr w:type="spellStart"/>
            <w:r w:rsidRPr="000C6E07">
              <w:rPr>
                <w:rFonts w:eastAsia="Calibri"/>
                <w:bCs/>
                <w:sz w:val="20"/>
                <w:szCs w:val="20"/>
                <w:lang w:val="ro-RO" w:eastAsia="zh-CN"/>
              </w:rPr>
              <w:t>p.p.</w:t>
            </w:r>
            <w:proofErr w:type="spellEnd"/>
            <w:r w:rsidRPr="000C6E07">
              <w:rPr>
                <w:rFonts w:eastAsia="Calibri"/>
                <w:bCs/>
                <w:sz w:val="20"/>
                <w:szCs w:val="20"/>
                <w:lang w:val="ro-RO" w:eastAsia="zh-CN"/>
              </w:rPr>
              <w:t xml:space="preserve"> a numărului spațiilor necesare pentru garantarea respectării drepturilor omului</w:t>
            </w:r>
          </w:p>
        </w:tc>
        <w:tc>
          <w:tcPr>
            <w:tcW w:w="755" w:type="pct"/>
            <w:vAlign w:val="center"/>
          </w:tcPr>
          <w:p w14:paraId="6F86AC41" w14:textId="77777777" w:rsidR="00E00CE9" w:rsidRPr="000C6E07" w:rsidRDefault="00E00CE9" w:rsidP="00E00CE9">
            <w:pPr>
              <w:spacing w:after="0"/>
              <w:jc w:val="center"/>
              <w:rPr>
                <w:bCs/>
                <w:color w:val="000000"/>
                <w:sz w:val="20"/>
                <w:szCs w:val="20"/>
                <w:lang w:val="ro-RO" w:eastAsia="ru-RU"/>
              </w:rPr>
            </w:pPr>
            <w:r w:rsidRPr="000C6E07">
              <w:rPr>
                <w:rFonts w:eastAsia="Calibri"/>
                <w:bCs/>
                <w:color w:val="000000"/>
                <w:sz w:val="20"/>
                <w:szCs w:val="20"/>
                <w:lang w:val="ro-RO" w:eastAsia="zh-CN"/>
              </w:rPr>
              <w:t>28%</w:t>
            </w:r>
          </w:p>
        </w:tc>
        <w:tc>
          <w:tcPr>
            <w:tcW w:w="621" w:type="pct"/>
            <w:vAlign w:val="center"/>
          </w:tcPr>
          <w:p w14:paraId="7B7A171A" w14:textId="269A3E14" w:rsidR="00E00CE9" w:rsidRPr="000C6E07" w:rsidRDefault="00B93670" w:rsidP="00E00CE9">
            <w:pPr>
              <w:spacing w:after="0"/>
              <w:jc w:val="center"/>
              <w:rPr>
                <w:rFonts w:eastAsia="Calibri"/>
                <w:bCs/>
                <w:color w:val="000000"/>
                <w:sz w:val="20"/>
                <w:szCs w:val="20"/>
                <w:lang w:val="ro-RO" w:eastAsia="zh-CN"/>
              </w:rPr>
            </w:pPr>
            <w:r>
              <w:rPr>
                <w:rFonts w:eastAsia="Calibri"/>
                <w:bCs/>
                <w:color w:val="000000"/>
                <w:sz w:val="20"/>
                <w:szCs w:val="20"/>
                <w:lang w:val="ro-RO" w:eastAsia="zh-CN"/>
              </w:rPr>
              <w:t>44,5%</w:t>
            </w:r>
          </w:p>
        </w:tc>
        <w:tc>
          <w:tcPr>
            <w:tcW w:w="491" w:type="pct"/>
            <w:vAlign w:val="center"/>
          </w:tcPr>
          <w:p w14:paraId="1C8B3DDD" w14:textId="053C75A6" w:rsidR="00E00CE9" w:rsidRPr="000C6E07" w:rsidRDefault="00E00CE9" w:rsidP="00E00CE9">
            <w:pPr>
              <w:spacing w:after="0"/>
              <w:jc w:val="center"/>
              <w:rPr>
                <w:bCs/>
                <w:color w:val="000000"/>
                <w:sz w:val="20"/>
                <w:szCs w:val="20"/>
                <w:lang w:val="ro-RO" w:eastAsia="ru-RU"/>
              </w:rPr>
            </w:pPr>
            <w:r w:rsidRPr="000C6E07">
              <w:rPr>
                <w:rFonts w:eastAsia="Calibri"/>
                <w:bCs/>
                <w:color w:val="000000"/>
                <w:sz w:val="20"/>
                <w:szCs w:val="20"/>
                <w:lang w:val="ro-RO" w:eastAsia="zh-CN"/>
              </w:rPr>
              <w:t>89%</w:t>
            </w:r>
          </w:p>
        </w:tc>
      </w:tr>
      <w:tr w:rsidR="00E00CE9" w:rsidRPr="000C6E07" w14:paraId="5A16A48D" w14:textId="77777777" w:rsidTr="00E00CE9">
        <w:trPr>
          <w:trHeight w:val="1148"/>
        </w:trPr>
        <w:tc>
          <w:tcPr>
            <w:tcW w:w="339" w:type="pct"/>
          </w:tcPr>
          <w:p w14:paraId="03A074F1" w14:textId="77777777" w:rsidR="00E00CE9" w:rsidRPr="000C6E07" w:rsidRDefault="00E00CE9" w:rsidP="00E00CE9">
            <w:pPr>
              <w:spacing w:after="0"/>
              <w:rPr>
                <w:sz w:val="20"/>
                <w:szCs w:val="20"/>
                <w:lang w:val="ro-RO" w:eastAsia="ru-RU"/>
              </w:rPr>
            </w:pPr>
            <w:r w:rsidRPr="000C6E07">
              <w:rPr>
                <w:sz w:val="20"/>
                <w:szCs w:val="20"/>
                <w:lang w:val="ro-RO" w:eastAsia="ru-RU"/>
              </w:rPr>
              <w:t>2.2.</w:t>
            </w:r>
          </w:p>
        </w:tc>
        <w:tc>
          <w:tcPr>
            <w:tcW w:w="1331" w:type="pct"/>
          </w:tcPr>
          <w:p w14:paraId="7BE5EE61" w14:textId="5C23D939" w:rsidR="00B93670" w:rsidRPr="00B93670" w:rsidRDefault="00B93670" w:rsidP="00B93670">
            <w:pPr>
              <w:spacing w:after="0"/>
              <w:rPr>
                <w:bCs/>
                <w:kern w:val="2"/>
                <w:sz w:val="20"/>
                <w:szCs w:val="20"/>
                <w:lang w:val="ro-RO" w:eastAsia="ru-RU"/>
              </w:rPr>
            </w:pPr>
            <w:r w:rsidRPr="00B93670">
              <w:rPr>
                <w:bCs/>
                <w:sz w:val="20"/>
                <w:szCs w:val="20"/>
                <w:lang w:val="ro-RO"/>
              </w:rPr>
              <w:t xml:space="preserve">Obiectivul specific </w:t>
            </w:r>
            <w:r>
              <w:rPr>
                <w:bCs/>
                <w:sz w:val="20"/>
                <w:szCs w:val="20"/>
                <w:lang w:val="ro-RO"/>
              </w:rPr>
              <w:t>2</w:t>
            </w:r>
            <w:r w:rsidRPr="00B93670">
              <w:rPr>
                <w:bCs/>
                <w:sz w:val="20"/>
                <w:szCs w:val="20"/>
                <w:lang w:val="ro-RO"/>
              </w:rPr>
              <w:t>.</w:t>
            </w:r>
            <w:r>
              <w:rPr>
                <w:bCs/>
                <w:sz w:val="20"/>
                <w:szCs w:val="20"/>
                <w:lang w:val="ro-RO"/>
              </w:rPr>
              <w:t>2</w:t>
            </w:r>
            <w:r w:rsidRPr="00B93670">
              <w:rPr>
                <w:bCs/>
                <w:sz w:val="20"/>
                <w:szCs w:val="20"/>
                <w:lang w:val="ro-RO"/>
              </w:rPr>
              <w:t>.</w:t>
            </w:r>
          </w:p>
          <w:p w14:paraId="3DB2F986" w14:textId="5ADD244A" w:rsidR="00E00CE9" w:rsidRPr="000C6E07" w:rsidRDefault="00E00CE9" w:rsidP="00E00CE9">
            <w:pPr>
              <w:spacing w:after="0"/>
              <w:rPr>
                <w:bCs/>
                <w:color w:val="000000"/>
                <w:sz w:val="20"/>
                <w:szCs w:val="20"/>
                <w:lang w:val="ro-RO" w:eastAsia="ru-RU"/>
              </w:rPr>
            </w:pPr>
            <w:r>
              <w:rPr>
                <w:bCs/>
                <w:color w:val="000000"/>
                <w:sz w:val="20"/>
                <w:szCs w:val="20"/>
                <w:lang w:val="ro-RO" w:eastAsia="ru-RU"/>
              </w:rPr>
              <w:t>C</w:t>
            </w:r>
            <w:r w:rsidRPr="000C6E07">
              <w:rPr>
                <w:bCs/>
                <w:color w:val="000000"/>
                <w:sz w:val="20"/>
                <w:szCs w:val="20"/>
                <w:lang w:val="ro-RO" w:eastAsia="ru-RU"/>
              </w:rPr>
              <w:t xml:space="preserve">apabilități integrate ale forțelor de ordine de intervenție la evenimente publice, </w:t>
            </w:r>
            <w:r>
              <w:rPr>
                <w:bCs/>
                <w:color w:val="000000"/>
                <w:sz w:val="20"/>
                <w:szCs w:val="20"/>
                <w:lang w:val="ro-RO" w:eastAsia="ru-RU"/>
              </w:rPr>
              <w:t xml:space="preserve">dezvoltate </w:t>
            </w:r>
            <w:r w:rsidRPr="000C6E07">
              <w:rPr>
                <w:bCs/>
                <w:color w:val="000000"/>
                <w:sz w:val="20"/>
                <w:szCs w:val="20"/>
                <w:lang w:val="ro-RO" w:eastAsia="ru-RU"/>
              </w:rPr>
              <w:t>cu respectarea drepturilor omului,</w:t>
            </w:r>
            <w:r w:rsidRPr="000C6E07">
              <w:rPr>
                <w:rFonts w:eastAsia="Calibri"/>
                <w:bCs/>
                <w:color w:val="000000"/>
                <w:sz w:val="20"/>
                <w:szCs w:val="20"/>
                <w:lang w:val="ro-RO" w:eastAsia="ru-RU"/>
              </w:rPr>
              <w:t xml:space="preserve"> până în anul 2030</w:t>
            </w:r>
          </w:p>
        </w:tc>
        <w:tc>
          <w:tcPr>
            <w:tcW w:w="1463" w:type="pct"/>
            <w:vAlign w:val="center"/>
          </w:tcPr>
          <w:p w14:paraId="161B5775" w14:textId="763033FA" w:rsidR="00E00CE9" w:rsidRPr="000C6E07" w:rsidRDefault="00E00CE9" w:rsidP="00E00CE9">
            <w:pPr>
              <w:pStyle w:val="affd"/>
              <w:spacing w:beforeAutospacing="0" w:afterAutospacing="0"/>
              <w:contextualSpacing/>
              <w:jc w:val="both"/>
              <w:rPr>
                <w:rFonts w:ascii="Times New Roman" w:hAnsi="Times New Roman"/>
                <w:bCs/>
                <w:color w:val="000000"/>
                <w:sz w:val="20"/>
                <w:szCs w:val="20"/>
                <w:lang w:val="ro-RO"/>
              </w:rPr>
            </w:pPr>
            <w:r w:rsidRPr="000C6E07">
              <w:rPr>
                <w:rFonts w:ascii="Times New Roman" w:eastAsia="Times New Roman" w:hAnsi="Times New Roman"/>
                <w:bCs/>
                <w:iCs/>
                <w:color w:val="000000"/>
                <w:sz w:val="20"/>
                <w:szCs w:val="20"/>
                <w:lang w:val="ro-RO"/>
              </w:rPr>
              <w:t>100% din procesele de intervenție interinstituționale la evenimentele publice asigurate cu PSO alineate la standardele drepturilor omului până în anul 2030</w:t>
            </w:r>
          </w:p>
        </w:tc>
        <w:tc>
          <w:tcPr>
            <w:tcW w:w="755" w:type="pct"/>
            <w:vAlign w:val="center"/>
          </w:tcPr>
          <w:p w14:paraId="31F6EBD0" w14:textId="77777777" w:rsidR="00E00CE9" w:rsidRPr="000C6E07" w:rsidRDefault="00E00CE9" w:rsidP="00E00CE9">
            <w:pPr>
              <w:spacing w:after="0"/>
              <w:jc w:val="center"/>
              <w:rPr>
                <w:bCs/>
                <w:color w:val="000000"/>
                <w:sz w:val="20"/>
                <w:szCs w:val="20"/>
                <w:lang w:val="ro-RO" w:eastAsia="ru-RU"/>
              </w:rPr>
            </w:pPr>
            <w:r w:rsidRPr="000C6E07">
              <w:rPr>
                <w:rFonts w:eastAsia="Calibri"/>
                <w:bCs/>
                <w:color w:val="000000"/>
                <w:sz w:val="20"/>
                <w:szCs w:val="20"/>
                <w:lang w:val="ro-RO" w:eastAsia="zh-CN"/>
              </w:rPr>
              <w:t>0</w:t>
            </w:r>
          </w:p>
        </w:tc>
        <w:tc>
          <w:tcPr>
            <w:tcW w:w="621" w:type="pct"/>
            <w:vAlign w:val="center"/>
          </w:tcPr>
          <w:p w14:paraId="2DC55898" w14:textId="172E41C7" w:rsidR="00E00CE9" w:rsidRPr="000C6E07" w:rsidRDefault="00B93670" w:rsidP="00E00CE9">
            <w:pPr>
              <w:spacing w:after="0"/>
              <w:jc w:val="center"/>
              <w:rPr>
                <w:rFonts w:eastAsia="Calibri"/>
                <w:bCs/>
                <w:color w:val="000000"/>
                <w:sz w:val="20"/>
                <w:szCs w:val="20"/>
                <w:lang w:val="ro-RO" w:eastAsia="ru-RU"/>
              </w:rPr>
            </w:pPr>
            <w:r>
              <w:rPr>
                <w:rFonts w:eastAsia="Calibri"/>
                <w:bCs/>
                <w:color w:val="000000"/>
                <w:sz w:val="20"/>
                <w:szCs w:val="20"/>
                <w:lang w:val="ro-RO" w:eastAsia="ru-RU"/>
              </w:rPr>
              <w:t>50%</w:t>
            </w:r>
          </w:p>
        </w:tc>
        <w:tc>
          <w:tcPr>
            <w:tcW w:w="491" w:type="pct"/>
            <w:vAlign w:val="center"/>
          </w:tcPr>
          <w:p w14:paraId="68C148E7" w14:textId="15D52A52" w:rsidR="00E00CE9" w:rsidRPr="000C6E07" w:rsidRDefault="00E00CE9" w:rsidP="00E00CE9">
            <w:pPr>
              <w:spacing w:after="0"/>
              <w:jc w:val="center"/>
              <w:rPr>
                <w:bCs/>
                <w:color w:val="000000"/>
                <w:sz w:val="20"/>
                <w:szCs w:val="20"/>
                <w:lang w:val="ro-RO" w:eastAsia="ru-RU"/>
              </w:rPr>
            </w:pPr>
            <w:r w:rsidRPr="000C6E07">
              <w:rPr>
                <w:rFonts w:eastAsia="Calibri"/>
                <w:bCs/>
                <w:color w:val="000000"/>
                <w:sz w:val="20"/>
                <w:szCs w:val="20"/>
                <w:lang w:val="ro-RO" w:eastAsia="ru-RU"/>
              </w:rPr>
              <w:t>100%</w:t>
            </w:r>
          </w:p>
        </w:tc>
      </w:tr>
    </w:tbl>
    <w:p w14:paraId="72C338E7" w14:textId="77777777" w:rsidR="00707A90" w:rsidRDefault="00707A90" w:rsidP="006A2852">
      <w:pPr>
        <w:pStyle w:val="1"/>
        <w:spacing w:before="0"/>
        <w:jc w:val="center"/>
        <w:rPr>
          <w:rFonts w:ascii="Times New Roman" w:hAnsi="Times New Roman"/>
          <w:b/>
          <w:color w:val="auto"/>
          <w:sz w:val="24"/>
          <w:szCs w:val="24"/>
          <w:lang w:val="ro-RO"/>
        </w:rPr>
      </w:pPr>
    </w:p>
    <w:p w14:paraId="39AC77EC" w14:textId="50D411FF" w:rsidR="006A2852" w:rsidRPr="006A2852" w:rsidRDefault="006A2852" w:rsidP="006A2852">
      <w:pPr>
        <w:pStyle w:val="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Capitolul V</w:t>
      </w:r>
    </w:p>
    <w:p w14:paraId="288166BD" w14:textId="7983D8E0" w:rsidR="006A2852" w:rsidRPr="006A2852" w:rsidRDefault="006A2852" w:rsidP="006A2852">
      <w:pPr>
        <w:pStyle w:val="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IMPACT</w:t>
      </w:r>
    </w:p>
    <w:p w14:paraId="074F1783" w14:textId="77777777" w:rsidR="006A2852" w:rsidRPr="005B7C9A" w:rsidRDefault="006A2852" w:rsidP="006A2852">
      <w:pPr>
        <w:spacing w:after="0"/>
        <w:ind w:firstLine="540"/>
        <w:jc w:val="both"/>
        <w:rPr>
          <w:color w:val="000000"/>
          <w:sz w:val="24"/>
          <w:szCs w:val="24"/>
          <w:lang w:val="ro-RO" w:eastAsia="ro-RO"/>
        </w:rPr>
      </w:pPr>
    </w:p>
    <w:p w14:paraId="700244FC" w14:textId="77777777" w:rsidR="009F40FF" w:rsidRPr="00D90F3B" w:rsidRDefault="009F40FF" w:rsidP="009F40FF">
      <w:pPr>
        <w:spacing w:after="0"/>
        <w:ind w:firstLine="540"/>
        <w:jc w:val="both"/>
        <w:rPr>
          <w:lang w:val="ro-RO"/>
        </w:rPr>
      </w:pPr>
      <w:r w:rsidRPr="00D90F3B">
        <w:rPr>
          <w:sz w:val="24"/>
          <w:szCs w:val="24"/>
          <w:lang w:val="ro-RO" w:eastAsia="ro-RO"/>
        </w:rPr>
        <w:t xml:space="preserve">Prezentul Program </w:t>
      </w:r>
      <w:r w:rsidRPr="00C464D7">
        <w:rPr>
          <w:sz w:val="24"/>
          <w:szCs w:val="24"/>
          <w:lang w:val="ro-RO" w:eastAsia="ro-RO"/>
        </w:rPr>
        <w:t xml:space="preserve">este conceput pentru a genera un impact vizibil și sustenabil asupra </w:t>
      </w:r>
      <w:r w:rsidRPr="00D90F3B">
        <w:rPr>
          <w:sz w:val="24"/>
          <w:szCs w:val="24"/>
          <w:lang w:val="ro-RO" w:eastAsia="ro-RO"/>
        </w:rPr>
        <w:t>siguranț</w:t>
      </w:r>
      <w:r>
        <w:rPr>
          <w:sz w:val="24"/>
          <w:szCs w:val="24"/>
          <w:lang w:val="ro-RO" w:eastAsia="ro-RO"/>
        </w:rPr>
        <w:t>ei</w:t>
      </w:r>
      <w:r w:rsidRPr="00D90F3B">
        <w:rPr>
          <w:sz w:val="24"/>
          <w:szCs w:val="24"/>
          <w:lang w:val="ro-RO" w:eastAsia="ro-RO"/>
        </w:rPr>
        <w:t xml:space="preserve"> pentru oameni în toate </w:t>
      </w:r>
      <w:r>
        <w:rPr>
          <w:sz w:val="24"/>
          <w:szCs w:val="24"/>
          <w:lang w:val="ro-RO" w:eastAsia="ro-RO"/>
        </w:rPr>
        <w:t>dimensiunile vieții cotidiene</w:t>
      </w:r>
      <w:r w:rsidRPr="00D90F3B">
        <w:rPr>
          <w:sz w:val="24"/>
          <w:szCs w:val="24"/>
          <w:lang w:val="ro-RO" w:eastAsia="ro-RO"/>
        </w:rPr>
        <w:t>: acasă, pe stradă, în locurile publice sau în mediul digital, în orice timp de zi sau noapte. Pentru ca acest impact să se producă, în cadrul prezentului Program au fost proiectate intervenții care vor avea ca efect modernizarea și capacitarea serviciilor de ordine și securitate publică, cu accente pe creșterea calității serviciilor oferite și apropierea de populație. Programul actual vizează continuarea și consolidarea rezultatelor obținute, precum și finalizarea inițiativelor demarate din Programul anterior de ordine și securitate publică 2022–2025.</w:t>
      </w:r>
      <w:r w:rsidRPr="00D90F3B">
        <w:rPr>
          <w:lang w:val="ro-RO"/>
        </w:rPr>
        <w:t xml:space="preserve"> </w:t>
      </w:r>
    </w:p>
    <w:p w14:paraId="221D60F9" w14:textId="77777777" w:rsidR="009F40FF" w:rsidRPr="00D90F3B" w:rsidRDefault="009F40FF" w:rsidP="009F40FF">
      <w:pPr>
        <w:spacing w:after="0"/>
        <w:ind w:firstLine="540"/>
        <w:jc w:val="both"/>
        <w:rPr>
          <w:sz w:val="24"/>
          <w:szCs w:val="24"/>
          <w:lang w:val="ro-RO" w:eastAsia="ro-RO"/>
        </w:rPr>
      </w:pPr>
      <w:r w:rsidRPr="00D90F3B">
        <w:rPr>
          <w:sz w:val="24"/>
          <w:szCs w:val="24"/>
          <w:lang w:val="ro-RO" w:eastAsia="ro-RO"/>
        </w:rPr>
        <w:t>Regionalizare și reorganizarea structurilor subdiviziunilor de ordine și securitate publică, cu separarea clară a rolurilor și responsabilităților, cu eficiența sporită a resurselor publice utilizate rezultată din reorganizare, urmăresc redistribuirea teritorială a forțelor de ordine publică și, respectiv, diminuarea timpului de reacționare la apelurile de urgență. Astfel, va fi sporit sentimentul de securitate publică, inclusiv în zonele rurale mai îndepărtate de centrele raionale.</w:t>
      </w:r>
    </w:p>
    <w:p w14:paraId="5C1DF9CF" w14:textId="77777777" w:rsidR="009F40FF" w:rsidRPr="00D90F3B" w:rsidRDefault="009F40FF" w:rsidP="009F40FF">
      <w:pPr>
        <w:spacing w:after="0"/>
        <w:ind w:firstLine="540"/>
        <w:jc w:val="both"/>
        <w:rPr>
          <w:sz w:val="24"/>
          <w:szCs w:val="24"/>
          <w:lang w:val="ro-RO" w:eastAsia="ro-RO"/>
        </w:rPr>
      </w:pPr>
      <w:r w:rsidRPr="00D90F3B">
        <w:rPr>
          <w:sz w:val="24"/>
          <w:szCs w:val="24"/>
          <w:lang w:val="ro-RO" w:eastAsia="ro-RO"/>
        </w:rPr>
        <w:t>Actualizarea și uniformizarea principalelor proceduri aplicabile proceselor desfășurate de serviciile de ordine și securitate publică vor asigura coerența intervențiilor în conformitate cu cerințele legale. Acest demers va crește calitatea și predictibilitatea serviciilor pentru populație, iar angajații de ordine publică vor beneficia de repere procedurale clare pentru a acționa corect în situațiile previzibile.</w:t>
      </w:r>
    </w:p>
    <w:p w14:paraId="050573BD" w14:textId="77777777" w:rsidR="009F40FF" w:rsidRPr="00D90F3B" w:rsidRDefault="009F40FF" w:rsidP="009F40FF">
      <w:pPr>
        <w:spacing w:after="0"/>
        <w:ind w:firstLine="540"/>
        <w:jc w:val="both"/>
        <w:rPr>
          <w:sz w:val="24"/>
          <w:szCs w:val="24"/>
          <w:lang w:val="ro-RO" w:eastAsia="ro-RO"/>
        </w:rPr>
      </w:pPr>
      <w:r w:rsidRPr="00D90F3B">
        <w:rPr>
          <w:sz w:val="24"/>
          <w:szCs w:val="24"/>
          <w:lang w:val="ro-RO" w:eastAsia="ro-RO"/>
        </w:rPr>
        <w:t>Alinierea proceselor și procedurilor la cele mai bune practici internaționale, cu respectarea principiilor drepturilor omului, va reduce riscul încălcării libertăților fundamentale și al prejudicierii vieții ori sănătății persoanelor în timpul intervențiilor forțelor de ordine. Creșterea profesionalismului structurilor de ordine și securitate publică va spori încrederea și satisfacția publicului, contribuind totodată la diminuarea cazurilor de abuz în serviciu.</w:t>
      </w:r>
    </w:p>
    <w:p w14:paraId="3D35BE9A" w14:textId="77777777" w:rsidR="009F40FF" w:rsidRPr="00D90F3B" w:rsidRDefault="009F40FF" w:rsidP="009F40FF">
      <w:pPr>
        <w:spacing w:after="0"/>
        <w:ind w:firstLine="540"/>
        <w:jc w:val="both"/>
        <w:rPr>
          <w:sz w:val="24"/>
          <w:szCs w:val="24"/>
          <w:lang w:val="ro-RO" w:eastAsia="ro-RO"/>
        </w:rPr>
      </w:pPr>
      <w:r w:rsidRPr="00D90F3B">
        <w:rPr>
          <w:sz w:val="24"/>
          <w:szCs w:val="24"/>
          <w:lang w:val="ro-RO" w:eastAsia="ro-RO"/>
        </w:rPr>
        <w:t xml:space="preserve">Acțiunile planificate vizează transformarea calitativă a modului de operare al forțelor de ordine, prin trecerea de la o abordare reactivă la una </w:t>
      </w:r>
      <w:proofErr w:type="spellStart"/>
      <w:r w:rsidRPr="00D90F3B">
        <w:rPr>
          <w:sz w:val="24"/>
          <w:szCs w:val="24"/>
          <w:lang w:val="ro-RO" w:eastAsia="ro-RO"/>
        </w:rPr>
        <w:t>proactivă</w:t>
      </w:r>
      <w:proofErr w:type="spellEnd"/>
      <w:r w:rsidRPr="00D90F3B">
        <w:rPr>
          <w:sz w:val="24"/>
          <w:szCs w:val="24"/>
          <w:lang w:val="ro-RO" w:eastAsia="ro-RO"/>
        </w:rPr>
        <w:t xml:space="preserve"> la toate nivelurile – operațional, tactic și strategic. Această schimbare implică extinderea unei culturi analitice bazate pe informații, care să fundamenteze luarea deciziilor și să permită un răspuns rapid la amenințările emergente pentru siguranța individuală și ordinea publică.</w:t>
      </w:r>
    </w:p>
    <w:p w14:paraId="51DDE27A" w14:textId="77777777" w:rsidR="009F40FF" w:rsidRPr="00D90F3B" w:rsidRDefault="009F40FF" w:rsidP="009F40FF">
      <w:pPr>
        <w:spacing w:after="0"/>
        <w:ind w:firstLine="540"/>
        <w:jc w:val="both"/>
        <w:rPr>
          <w:sz w:val="24"/>
          <w:szCs w:val="24"/>
          <w:lang w:val="ro-RO" w:eastAsia="ro-RO"/>
        </w:rPr>
      </w:pPr>
      <w:r w:rsidRPr="00D90F3B">
        <w:rPr>
          <w:sz w:val="24"/>
          <w:szCs w:val="24"/>
          <w:lang w:val="ro-RO" w:eastAsia="ro-RO"/>
        </w:rPr>
        <w:t xml:space="preserve">Totodată, Programul pune bazele unei culturi organizaționale orientate către nevoile și așteptările populației. În acest sens, va fi continuat procesul de extindere la nivel național a principiilor poliției </w:t>
      </w:r>
      <w:r w:rsidRPr="00D90F3B">
        <w:rPr>
          <w:sz w:val="24"/>
          <w:szCs w:val="24"/>
          <w:lang w:val="ro-RO" w:eastAsia="ro-RO"/>
        </w:rPr>
        <w:lastRenderedPageBreak/>
        <w:t>comunitare, dezvoltate abilitățile de comunicare ale angajaților și consolidate relațiile de încredere cu cetățenii. Vor fi instituite mecanisme de interacțiune cu grupurile vulnerabile, pentru a asigura acces egal la servicii și o apropiere reală între comunitate și structurile de ordine publică.</w:t>
      </w:r>
    </w:p>
    <w:p w14:paraId="48463591" w14:textId="77777777" w:rsidR="009F40FF" w:rsidRPr="00D90F3B" w:rsidRDefault="009F40FF" w:rsidP="009F40FF">
      <w:pPr>
        <w:spacing w:after="0"/>
        <w:ind w:firstLine="540"/>
        <w:jc w:val="both"/>
        <w:rPr>
          <w:sz w:val="24"/>
          <w:szCs w:val="24"/>
          <w:lang w:val="ro-RO" w:eastAsia="ro-RO"/>
        </w:rPr>
      </w:pPr>
      <w:r w:rsidRPr="00D90F3B">
        <w:rPr>
          <w:sz w:val="24"/>
          <w:szCs w:val="24"/>
          <w:lang w:val="ro-RO" w:eastAsia="ro-RO"/>
        </w:rPr>
        <w:t>Pe termen lung, această abordare va transforma modul de comunicare și colaborare dintre forțele de ordine și cetățeni, contribuind la construirea unor relații durabile bazate pe încredere reciprocă, în special cu categoriile sociale vulnerabile.</w:t>
      </w:r>
    </w:p>
    <w:p w14:paraId="4881CDF2" w14:textId="77777777" w:rsidR="009F40FF" w:rsidRDefault="009F40FF" w:rsidP="009F40FF">
      <w:pPr>
        <w:spacing w:after="0"/>
        <w:ind w:firstLine="540"/>
        <w:jc w:val="both"/>
        <w:rPr>
          <w:sz w:val="24"/>
          <w:szCs w:val="24"/>
          <w:lang w:val="ro-RO" w:eastAsia="ro-RO"/>
        </w:rPr>
      </w:pPr>
      <w:r w:rsidRPr="00D90F3B">
        <w:rPr>
          <w:sz w:val="24"/>
          <w:szCs w:val="24"/>
          <w:lang w:val="ro-RO" w:eastAsia="ro-RO"/>
        </w:rPr>
        <w:t>Îmbunătățirea condițiilor de dotare ale serviciilor de ordine și securitate publică va contribui la creșterea calității intervențiilor și implementarea schimbărilor propuse. Astfel, populația va beneficia de servicii moderne, eficiente, prompte, mai transparente și mai puțin consumatoare de timp în derularea procedurilor specifice.</w:t>
      </w:r>
    </w:p>
    <w:p w14:paraId="7D9D9319" w14:textId="5FC40594" w:rsidR="00477C4A" w:rsidRPr="00477C4A" w:rsidRDefault="00477C4A" w:rsidP="00D423CE">
      <w:pPr>
        <w:spacing w:after="0"/>
        <w:jc w:val="both"/>
        <w:rPr>
          <w:color w:val="EE0000"/>
          <w:sz w:val="24"/>
          <w:szCs w:val="24"/>
          <w:lang w:val="ro-RO" w:eastAsia="ro-RO"/>
        </w:rPr>
      </w:pPr>
    </w:p>
    <w:p w14:paraId="33BB68FB" w14:textId="36843CD3" w:rsidR="006A2852" w:rsidRPr="006A2852" w:rsidRDefault="006A2852" w:rsidP="006A2852">
      <w:pPr>
        <w:pStyle w:val="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Capitolul VI</w:t>
      </w:r>
    </w:p>
    <w:p w14:paraId="37B7428C" w14:textId="521D4CC2" w:rsidR="006A2852" w:rsidRPr="006A2852" w:rsidRDefault="006A2852" w:rsidP="006A2852">
      <w:pPr>
        <w:pStyle w:val="1"/>
        <w:spacing w:before="0"/>
        <w:jc w:val="center"/>
        <w:rPr>
          <w:rFonts w:ascii="Times New Roman" w:hAnsi="Times New Roman"/>
          <w:b/>
          <w:color w:val="auto"/>
          <w:sz w:val="24"/>
          <w:szCs w:val="24"/>
          <w:lang w:val="ro-RO"/>
        </w:rPr>
      </w:pPr>
      <w:r w:rsidRPr="006A2852">
        <w:rPr>
          <w:rFonts w:ascii="Times New Roman" w:hAnsi="Times New Roman"/>
          <w:b/>
          <w:color w:val="auto"/>
          <w:sz w:val="24"/>
          <w:szCs w:val="24"/>
          <w:lang w:val="ro-RO"/>
        </w:rPr>
        <w:t>COSTURI</w:t>
      </w:r>
    </w:p>
    <w:p w14:paraId="40A3E772" w14:textId="1FBEF4C2" w:rsidR="006A2852" w:rsidRPr="005B7C9A" w:rsidRDefault="006A2852" w:rsidP="006A2852">
      <w:pPr>
        <w:spacing w:after="0"/>
        <w:ind w:firstLine="540"/>
        <w:jc w:val="right"/>
        <w:rPr>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335"/>
        <w:gridCol w:w="1097"/>
        <w:gridCol w:w="1215"/>
        <w:gridCol w:w="1136"/>
        <w:gridCol w:w="1123"/>
        <w:gridCol w:w="1123"/>
      </w:tblGrid>
      <w:tr w:rsidR="00657BDD" w:rsidRPr="008F331C" w14:paraId="15D8DD12" w14:textId="2D253257" w:rsidTr="00111D39">
        <w:trPr>
          <w:trHeight w:val="149"/>
        </w:trPr>
        <w:tc>
          <w:tcPr>
            <w:tcW w:w="1552" w:type="pct"/>
            <w:vMerge w:val="restart"/>
            <w:shd w:val="clear" w:color="auto" w:fill="FFFF00"/>
            <w:vAlign w:val="center"/>
          </w:tcPr>
          <w:p w14:paraId="6AF2E03F" w14:textId="77777777" w:rsidR="00657BDD" w:rsidRPr="005B7C9A" w:rsidRDefault="00657BDD" w:rsidP="006A2852">
            <w:pPr>
              <w:spacing w:after="0"/>
              <w:jc w:val="center"/>
              <w:rPr>
                <w:b/>
                <w:sz w:val="20"/>
                <w:szCs w:val="20"/>
                <w:lang w:val="ro-RO" w:eastAsia="ru-RU"/>
              </w:rPr>
            </w:pPr>
            <w:r w:rsidRPr="005B7C9A">
              <w:rPr>
                <w:b/>
                <w:sz w:val="20"/>
                <w:szCs w:val="20"/>
                <w:lang w:val="ro-RO" w:eastAsia="ru-RU"/>
              </w:rPr>
              <w:t>Obiectiv specific</w:t>
            </w:r>
          </w:p>
        </w:tc>
        <w:tc>
          <w:tcPr>
            <w:tcW w:w="655" w:type="pct"/>
            <w:vMerge w:val="restart"/>
            <w:shd w:val="clear" w:color="auto" w:fill="FFFF00"/>
            <w:vAlign w:val="center"/>
          </w:tcPr>
          <w:p w14:paraId="0291B6F1" w14:textId="77777777" w:rsidR="00657BDD" w:rsidRPr="005B7C9A" w:rsidRDefault="00657BDD" w:rsidP="006A2852">
            <w:pPr>
              <w:spacing w:after="0"/>
              <w:jc w:val="center"/>
              <w:rPr>
                <w:b/>
                <w:sz w:val="20"/>
                <w:szCs w:val="20"/>
                <w:lang w:val="ro-RO" w:eastAsia="ru-RU"/>
              </w:rPr>
            </w:pPr>
            <w:r w:rsidRPr="005B7C9A">
              <w:rPr>
                <w:b/>
                <w:sz w:val="20"/>
                <w:szCs w:val="20"/>
                <w:lang w:val="ro-RO" w:eastAsia="ru-RU"/>
              </w:rPr>
              <w:t>Costuri totale</w:t>
            </w:r>
          </w:p>
          <w:p w14:paraId="2B23FE50" w14:textId="77777777" w:rsidR="00657BDD" w:rsidRPr="005B7C9A" w:rsidRDefault="00657BDD" w:rsidP="006A2852">
            <w:pPr>
              <w:spacing w:after="0"/>
              <w:jc w:val="center"/>
              <w:rPr>
                <w:b/>
                <w:sz w:val="20"/>
                <w:szCs w:val="20"/>
                <w:lang w:val="ro-RO" w:eastAsia="ru-RU"/>
              </w:rPr>
            </w:pPr>
            <w:r w:rsidRPr="005B7C9A">
              <w:rPr>
                <w:b/>
                <w:sz w:val="20"/>
                <w:szCs w:val="20"/>
                <w:lang w:val="ro-RO" w:eastAsia="ru-RU"/>
              </w:rPr>
              <w:t>(mii lei)</w:t>
            </w:r>
          </w:p>
        </w:tc>
        <w:tc>
          <w:tcPr>
            <w:tcW w:w="2793" w:type="pct"/>
            <w:gridSpan w:val="5"/>
            <w:shd w:val="clear" w:color="auto" w:fill="FFFF00"/>
            <w:vAlign w:val="center"/>
          </w:tcPr>
          <w:p w14:paraId="0709020F" w14:textId="1DF824B6" w:rsidR="00657BDD" w:rsidRPr="005B7C9A" w:rsidRDefault="00657BDD" w:rsidP="006A2852">
            <w:pPr>
              <w:spacing w:after="0"/>
              <w:jc w:val="center"/>
              <w:rPr>
                <w:b/>
                <w:sz w:val="20"/>
                <w:szCs w:val="20"/>
                <w:lang w:val="ro-RO" w:eastAsia="ru-RU"/>
              </w:rPr>
            </w:pPr>
            <w:r w:rsidRPr="005B7C9A">
              <w:rPr>
                <w:b/>
                <w:sz w:val="20"/>
                <w:szCs w:val="20"/>
                <w:lang w:val="ro-RO" w:eastAsia="ru-RU"/>
              </w:rPr>
              <w:t>Costuri pe ani (mii lei)</w:t>
            </w:r>
          </w:p>
        </w:tc>
      </w:tr>
      <w:tr w:rsidR="00657BDD" w:rsidRPr="005B7C9A" w14:paraId="45168378" w14:textId="7FA0B3BD" w:rsidTr="00111D39">
        <w:trPr>
          <w:trHeight w:val="681"/>
        </w:trPr>
        <w:tc>
          <w:tcPr>
            <w:tcW w:w="1552" w:type="pct"/>
            <w:vMerge/>
            <w:shd w:val="clear" w:color="auto" w:fill="FFFF00"/>
          </w:tcPr>
          <w:p w14:paraId="3BA5C066" w14:textId="77777777" w:rsidR="00657BDD" w:rsidRPr="005B7C9A" w:rsidRDefault="00657BDD" w:rsidP="006A2852">
            <w:pPr>
              <w:spacing w:after="0"/>
              <w:jc w:val="both"/>
              <w:rPr>
                <w:b/>
                <w:sz w:val="20"/>
                <w:szCs w:val="20"/>
                <w:lang w:val="ro-RO" w:eastAsia="ru-RU"/>
              </w:rPr>
            </w:pPr>
          </w:p>
        </w:tc>
        <w:tc>
          <w:tcPr>
            <w:tcW w:w="655" w:type="pct"/>
            <w:vMerge/>
            <w:shd w:val="clear" w:color="auto" w:fill="FFFF00"/>
          </w:tcPr>
          <w:p w14:paraId="60D2E01F" w14:textId="77777777" w:rsidR="00657BDD" w:rsidRPr="005B7C9A" w:rsidRDefault="00657BDD" w:rsidP="006A2852">
            <w:pPr>
              <w:spacing w:after="0"/>
              <w:jc w:val="both"/>
              <w:rPr>
                <w:b/>
                <w:sz w:val="20"/>
                <w:szCs w:val="20"/>
                <w:lang w:val="ro-RO" w:eastAsia="ru-RU"/>
              </w:rPr>
            </w:pPr>
          </w:p>
        </w:tc>
        <w:tc>
          <w:tcPr>
            <w:tcW w:w="538" w:type="pct"/>
            <w:shd w:val="clear" w:color="auto" w:fill="FFFF00"/>
            <w:vAlign w:val="center"/>
          </w:tcPr>
          <w:p w14:paraId="14ECE1A7" w14:textId="5D838D28" w:rsidR="00657BDD" w:rsidRPr="005B7C9A" w:rsidRDefault="00657BDD" w:rsidP="006A2852">
            <w:pPr>
              <w:spacing w:after="0"/>
              <w:jc w:val="center"/>
              <w:rPr>
                <w:b/>
                <w:sz w:val="20"/>
                <w:szCs w:val="20"/>
                <w:lang w:val="ro-RO" w:eastAsia="ru-RU"/>
              </w:rPr>
            </w:pPr>
            <w:r>
              <w:rPr>
                <w:b/>
                <w:sz w:val="20"/>
                <w:szCs w:val="20"/>
                <w:lang w:val="ro-RO" w:eastAsia="ru-RU"/>
              </w:rPr>
              <w:t>2026</w:t>
            </w:r>
          </w:p>
        </w:tc>
        <w:tc>
          <w:tcPr>
            <w:tcW w:w="596" w:type="pct"/>
            <w:shd w:val="clear" w:color="auto" w:fill="FFFF00"/>
            <w:vAlign w:val="center"/>
          </w:tcPr>
          <w:p w14:paraId="5E9975B8" w14:textId="57027595" w:rsidR="00657BDD" w:rsidRPr="005B7C9A" w:rsidRDefault="00657BDD" w:rsidP="00657BDD">
            <w:pPr>
              <w:spacing w:after="0"/>
              <w:jc w:val="center"/>
              <w:rPr>
                <w:b/>
                <w:sz w:val="20"/>
                <w:szCs w:val="20"/>
                <w:lang w:val="ro-RO" w:eastAsia="ru-RU"/>
              </w:rPr>
            </w:pPr>
            <w:r w:rsidRPr="005B7C9A">
              <w:rPr>
                <w:b/>
                <w:sz w:val="20"/>
                <w:szCs w:val="20"/>
                <w:lang w:val="ro-RO" w:eastAsia="ru-RU"/>
              </w:rPr>
              <w:t>202</w:t>
            </w:r>
            <w:r>
              <w:rPr>
                <w:b/>
                <w:sz w:val="20"/>
                <w:szCs w:val="20"/>
                <w:lang w:val="ro-RO" w:eastAsia="ru-RU"/>
              </w:rPr>
              <w:t>7</w:t>
            </w:r>
          </w:p>
        </w:tc>
        <w:tc>
          <w:tcPr>
            <w:tcW w:w="557" w:type="pct"/>
            <w:shd w:val="clear" w:color="auto" w:fill="FFFF00"/>
            <w:vAlign w:val="center"/>
          </w:tcPr>
          <w:p w14:paraId="4045FA92" w14:textId="0085A5D1" w:rsidR="00657BDD" w:rsidRPr="005B7C9A" w:rsidRDefault="00657BDD" w:rsidP="00657BDD">
            <w:pPr>
              <w:spacing w:after="0"/>
              <w:jc w:val="center"/>
              <w:rPr>
                <w:b/>
                <w:sz w:val="20"/>
                <w:szCs w:val="20"/>
                <w:lang w:val="ro-RO" w:eastAsia="ru-RU"/>
              </w:rPr>
            </w:pPr>
            <w:r w:rsidRPr="005B7C9A">
              <w:rPr>
                <w:b/>
                <w:sz w:val="20"/>
                <w:szCs w:val="20"/>
                <w:lang w:val="ro-RO" w:eastAsia="ru-RU"/>
              </w:rPr>
              <w:t>202</w:t>
            </w:r>
            <w:r>
              <w:rPr>
                <w:b/>
                <w:sz w:val="20"/>
                <w:szCs w:val="20"/>
                <w:lang w:val="ro-RO" w:eastAsia="ru-RU"/>
              </w:rPr>
              <w:t>8</w:t>
            </w:r>
          </w:p>
        </w:tc>
        <w:tc>
          <w:tcPr>
            <w:tcW w:w="551" w:type="pct"/>
            <w:shd w:val="clear" w:color="auto" w:fill="FFFF00"/>
            <w:vAlign w:val="center"/>
          </w:tcPr>
          <w:p w14:paraId="57AA8E00" w14:textId="4266D2D6" w:rsidR="00657BDD" w:rsidRPr="005B7C9A" w:rsidRDefault="00657BDD" w:rsidP="00657BDD">
            <w:pPr>
              <w:spacing w:after="0"/>
              <w:jc w:val="center"/>
              <w:rPr>
                <w:b/>
                <w:sz w:val="20"/>
                <w:szCs w:val="20"/>
                <w:lang w:val="ro-RO" w:eastAsia="ru-RU"/>
              </w:rPr>
            </w:pPr>
            <w:r w:rsidRPr="005B7C9A">
              <w:rPr>
                <w:b/>
                <w:sz w:val="20"/>
                <w:szCs w:val="20"/>
                <w:lang w:val="ro-RO" w:eastAsia="ru-RU"/>
              </w:rPr>
              <w:t>202</w:t>
            </w:r>
            <w:r>
              <w:rPr>
                <w:b/>
                <w:sz w:val="20"/>
                <w:szCs w:val="20"/>
                <w:lang w:val="ro-RO" w:eastAsia="ru-RU"/>
              </w:rPr>
              <w:t>9</w:t>
            </w:r>
          </w:p>
        </w:tc>
        <w:tc>
          <w:tcPr>
            <w:tcW w:w="551" w:type="pct"/>
            <w:shd w:val="clear" w:color="auto" w:fill="FFFF00"/>
            <w:vAlign w:val="center"/>
          </w:tcPr>
          <w:p w14:paraId="531C6600" w14:textId="0025F226" w:rsidR="00657BDD" w:rsidRPr="005B7C9A" w:rsidRDefault="00657BDD" w:rsidP="00657BDD">
            <w:pPr>
              <w:spacing w:after="0"/>
              <w:jc w:val="center"/>
              <w:rPr>
                <w:b/>
                <w:sz w:val="20"/>
                <w:szCs w:val="20"/>
                <w:lang w:val="ro-RO" w:eastAsia="ru-RU"/>
              </w:rPr>
            </w:pPr>
            <w:r>
              <w:rPr>
                <w:b/>
                <w:sz w:val="20"/>
                <w:szCs w:val="20"/>
                <w:lang w:val="ro-RO" w:eastAsia="ru-RU"/>
              </w:rPr>
              <w:t>2030</w:t>
            </w:r>
          </w:p>
        </w:tc>
      </w:tr>
      <w:tr w:rsidR="006D25BE" w:rsidRPr="005B7C9A" w14:paraId="1DD5ACE6" w14:textId="0381F016" w:rsidTr="007B5270">
        <w:trPr>
          <w:trHeight w:val="716"/>
        </w:trPr>
        <w:tc>
          <w:tcPr>
            <w:tcW w:w="1552" w:type="pct"/>
            <w:shd w:val="clear" w:color="auto" w:fill="00B0F0"/>
            <w:vAlign w:val="center"/>
          </w:tcPr>
          <w:p w14:paraId="0BBE7AE6" w14:textId="384376EA" w:rsidR="006D25BE" w:rsidRPr="005921C0" w:rsidRDefault="006D25BE" w:rsidP="006D25BE">
            <w:pPr>
              <w:tabs>
                <w:tab w:val="left" w:pos="601"/>
              </w:tabs>
              <w:spacing w:after="0"/>
              <w:jc w:val="both"/>
              <w:rPr>
                <w:rFonts w:cs="Times New Roman"/>
                <w:sz w:val="20"/>
                <w:szCs w:val="20"/>
                <w:lang w:val="ro-RO" w:eastAsia="ru-RU"/>
              </w:rPr>
            </w:pPr>
            <w:r w:rsidRPr="005921C0">
              <w:rPr>
                <w:rFonts w:cs="Times New Roman"/>
                <w:b/>
                <w:sz w:val="20"/>
                <w:szCs w:val="20"/>
                <w:lang w:val="ro-RO" w:eastAsia="ru-RU"/>
              </w:rPr>
              <w:t>1.1.</w:t>
            </w:r>
            <w:r w:rsidRPr="005921C0">
              <w:rPr>
                <w:rFonts w:cs="Times New Roman"/>
                <w:sz w:val="20"/>
                <w:szCs w:val="20"/>
                <w:lang w:val="ro-RO" w:eastAsia="ru-RU"/>
              </w:rPr>
              <w:t xml:space="preserve"> </w:t>
            </w:r>
            <w:r w:rsidRPr="005921C0">
              <w:rPr>
                <w:rFonts w:cs="Times New Roman"/>
                <w:bCs/>
                <w:kern w:val="2"/>
                <w:sz w:val="20"/>
                <w:szCs w:val="20"/>
                <w:lang w:val="ro-RO" w:eastAsia="ru-RU"/>
              </w:rPr>
              <w:t>Răspuns profesionist, eficient și rapid asigurat la provocările specifice  până în anul 2030</w:t>
            </w:r>
          </w:p>
        </w:tc>
        <w:tc>
          <w:tcPr>
            <w:tcW w:w="655" w:type="pct"/>
            <w:shd w:val="clear" w:color="auto" w:fill="00B0F0"/>
            <w:vAlign w:val="center"/>
          </w:tcPr>
          <w:p w14:paraId="257D770A" w14:textId="0046675A" w:rsidR="006D25BE" w:rsidRPr="00324E95" w:rsidRDefault="006D25BE" w:rsidP="006D25BE">
            <w:pPr>
              <w:spacing w:after="0"/>
              <w:jc w:val="center"/>
              <w:rPr>
                <w:rFonts w:cs="Times New Roman"/>
                <w:sz w:val="20"/>
                <w:szCs w:val="20"/>
                <w:lang w:val="ro-RO" w:eastAsia="ru-RU"/>
              </w:rPr>
            </w:pPr>
            <w:r w:rsidRPr="00324E95">
              <w:rPr>
                <w:bCs/>
                <w:color w:val="000000"/>
                <w:sz w:val="20"/>
                <w:szCs w:val="20"/>
              </w:rPr>
              <w:t>6</w:t>
            </w:r>
            <w:r w:rsidR="00F87F75">
              <w:rPr>
                <w:bCs/>
                <w:color w:val="000000"/>
                <w:sz w:val="20"/>
                <w:szCs w:val="20"/>
                <w:lang w:val="ro-RO"/>
              </w:rPr>
              <w:t>7</w:t>
            </w:r>
            <w:r w:rsidR="007B5270">
              <w:rPr>
                <w:bCs/>
                <w:color w:val="000000"/>
                <w:sz w:val="20"/>
                <w:szCs w:val="20"/>
                <w:lang w:val="ro-RO"/>
              </w:rPr>
              <w:t>5</w:t>
            </w:r>
            <w:r w:rsidR="00BA4690">
              <w:rPr>
                <w:bCs/>
                <w:color w:val="000000"/>
                <w:sz w:val="20"/>
                <w:szCs w:val="20"/>
                <w:lang w:val="ro-RO"/>
              </w:rPr>
              <w:t>.</w:t>
            </w:r>
            <w:r w:rsidR="007B5270">
              <w:rPr>
                <w:bCs/>
                <w:color w:val="000000"/>
                <w:sz w:val="20"/>
                <w:szCs w:val="20"/>
                <w:lang w:val="ro-RO"/>
              </w:rPr>
              <w:t>482</w:t>
            </w:r>
            <w:r w:rsidRPr="00324E95">
              <w:rPr>
                <w:bCs/>
                <w:color w:val="000000"/>
                <w:sz w:val="20"/>
                <w:szCs w:val="20"/>
              </w:rPr>
              <w:t>,0</w:t>
            </w:r>
          </w:p>
        </w:tc>
        <w:tc>
          <w:tcPr>
            <w:tcW w:w="538" w:type="pct"/>
            <w:shd w:val="clear" w:color="auto" w:fill="00B0F0"/>
            <w:vAlign w:val="center"/>
          </w:tcPr>
          <w:p w14:paraId="594C77EC" w14:textId="22E6D23F" w:rsidR="006D25BE" w:rsidRPr="007B5270" w:rsidRDefault="006D25BE" w:rsidP="006D25BE">
            <w:pPr>
              <w:spacing w:after="0"/>
              <w:jc w:val="center"/>
              <w:rPr>
                <w:rFonts w:cs="Times New Roman"/>
                <w:sz w:val="20"/>
                <w:szCs w:val="20"/>
                <w:lang w:val="ro-RO" w:eastAsia="ru-RU"/>
              </w:rPr>
            </w:pPr>
            <w:r w:rsidRPr="00324E95">
              <w:rPr>
                <w:bCs/>
                <w:color w:val="000000"/>
                <w:sz w:val="20"/>
                <w:szCs w:val="20"/>
              </w:rPr>
              <w:t>26</w:t>
            </w:r>
            <w:r w:rsidR="007B5270">
              <w:rPr>
                <w:bCs/>
                <w:color w:val="000000"/>
                <w:sz w:val="20"/>
                <w:szCs w:val="20"/>
                <w:lang w:val="ro-RO"/>
              </w:rPr>
              <w:t>4</w:t>
            </w:r>
            <w:r w:rsidRPr="00324E95">
              <w:rPr>
                <w:bCs/>
                <w:color w:val="000000"/>
                <w:sz w:val="20"/>
                <w:szCs w:val="20"/>
              </w:rPr>
              <w:t>.</w:t>
            </w:r>
            <w:r w:rsidR="007B5270">
              <w:rPr>
                <w:bCs/>
                <w:color w:val="000000"/>
                <w:sz w:val="20"/>
                <w:szCs w:val="20"/>
                <w:lang w:val="ro-RO"/>
              </w:rPr>
              <w:t>923</w:t>
            </w:r>
            <w:r w:rsidRPr="00324E95">
              <w:rPr>
                <w:bCs/>
                <w:color w:val="000000"/>
                <w:sz w:val="20"/>
                <w:szCs w:val="20"/>
              </w:rPr>
              <w:t>,</w:t>
            </w:r>
            <w:r w:rsidR="007B5270">
              <w:rPr>
                <w:bCs/>
                <w:color w:val="000000"/>
                <w:sz w:val="20"/>
                <w:szCs w:val="20"/>
                <w:lang w:val="ro-RO"/>
              </w:rPr>
              <w:t>5</w:t>
            </w:r>
          </w:p>
        </w:tc>
        <w:tc>
          <w:tcPr>
            <w:tcW w:w="596" w:type="pct"/>
            <w:shd w:val="clear" w:color="auto" w:fill="00B0F0"/>
            <w:vAlign w:val="center"/>
          </w:tcPr>
          <w:p w14:paraId="65A188E6" w14:textId="379E1682" w:rsidR="006D25BE" w:rsidRPr="007B5270" w:rsidRDefault="006D25BE" w:rsidP="006D25BE">
            <w:pPr>
              <w:spacing w:after="0"/>
              <w:jc w:val="center"/>
              <w:rPr>
                <w:rFonts w:cs="Times New Roman"/>
                <w:sz w:val="20"/>
                <w:szCs w:val="20"/>
                <w:lang w:val="ro-RO" w:eastAsia="ru-RU"/>
              </w:rPr>
            </w:pPr>
            <w:r w:rsidRPr="00324E95">
              <w:rPr>
                <w:bCs/>
                <w:color w:val="000000"/>
                <w:sz w:val="20"/>
                <w:szCs w:val="20"/>
              </w:rPr>
              <w:t>2</w:t>
            </w:r>
            <w:r w:rsidR="007B5270">
              <w:rPr>
                <w:bCs/>
                <w:color w:val="000000"/>
                <w:sz w:val="20"/>
                <w:szCs w:val="20"/>
                <w:lang w:val="ro-RO"/>
              </w:rPr>
              <w:t>30</w:t>
            </w:r>
            <w:r w:rsidRPr="00324E95">
              <w:rPr>
                <w:bCs/>
                <w:color w:val="000000"/>
                <w:sz w:val="20"/>
                <w:szCs w:val="20"/>
              </w:rPr>
              <w:t>.</w:t>
            </w:r>
            <w:r w:rsidR="007B5270">
              <w:rPr>
                <w:bCs/>
                <w:color w:val="000000"/>
                <w:sz w:val="20"/>
                <w:szCs w:val="20"/>
                <w:lang w:val="ro-RO"/>
              </w:rPr>
              <w:t>007</w:t>
            </w:r>
            <w:r w:rsidRPr="00324E95">
              <w:rPr>
                <w:bCs/>
                <w:color w:val="000000"/>
                <w:sz w:val="20"/>
                <w:szCs w:val="20"/>
              </w:rPr>
              <w:t>,</w:t>
            </w:r>
            <w:r w:rsidR="007B5270">
              <w:rPr>
                <w:bCs/>
                <w:color w:val="000000"/>
                <w:sz w:val="20"/>
                <w:szCs w:val="20"/>
                <w:lang w:val="ro-RO"/>
              </w:rPr>
              <w:t>0</w:t>
            </w:r>
          </w:p>
        </w:tc>
        <w:tc>
          <w:tcPr>
            <w:tcW w:w="557" w:type="pct"/>
            <w:shd w:val="clear" w:color="auto" w:fill="00B0F0"/>
            <w:vAlign w:val="center"/>
          </w:tcPr>
          <w:p w14:paraId="010DDC8A" w14:textId="3ED95B65" w:rsidR="006D25BE" w:rsidRPr="007B5270" w:rsidRDefault="006D25BE" w:rsidP="006D25BE">
            <w:pPr>
              <w:spacing w:after="0"/>
              <w:jc w:val="center"/>
              <w:rPr>
                <w:rFonts w:cs="Times New Roman"/>
                <w:sz w:val="20"/>
                <w:szCs w:val="20"/>
                <w:lang w:val="ro-RO" w:eastAsia="ru-RU"/>
              </w:rPr>
            </w:pPr>
            <w:r w:rsidRPr="00324E95">
              <w:rPr>
                <w:bCs/>
                <w:color w:val="000000"/>
                <w:sz w:val="20"/>
                <w:szCs w:val="20"/>
              </w:rPr>
              <w:t>6</w:t>
            </w:r>
            <w:r w:rsidR="007B5270">
              <w:rPr>
                <w:bCs/>
                <w:color w:val="000000"/>
                <w:sz w:val="20"/>
                <w:szCs w:val="20"/>
                <w:lang w:val="ro-RO"/>
              </w:rPr>
              <w:t>2</w:t>
            </w:r>
            <w:r w:rsidRPr="00324E95">
              <w:rPr>
                <w:bCs/>
                <w:color w:val="000000"/>
                <w:sz w:val="20"/>
                <w:szCs w:val="20"/>
              </w:rPr>
              <w:t>.</w:t>
            </w:r>
            <w:r w:rsidR="007B5270">
              <w:rPr>
                <w:bCs/>
                <w:color w:val="000000"/>
                <w:sz w:val="20"/>
                <w:szCs w:val="20"/>
                <w:lang w:val="ro-RO"/>
              </w:rPr>
              <w:t>866</w:t>
            </w:r>
            <w:r w:rsidRPr="00324E95">
              <w:rPr>
                <w:bCs/>
                <w:color w:val="000000"/>
                <w:sz w:val="20"/>
                <w:szCs w:val="20"/>
              </w:rPr>
              <w:t>,</w:t>
            </w:r>
            <w:r w:rsidR="007B5270">
              <w:rPr>
                <w:bCs/>
                <w:color w:val="000000"/>
                <w:sz w:val="20"/>
                <w:szCs w:val="20"/>
                <w:lang w:val="ro-RO"/>
              </w:rPr>
              <w:t>8</w:t>
            </w:r>
          </w:p>
        </w:tc>
        <w:tc>
          <w:tcPr>
            <w:tcW w:w="551" w:type="pct"/>
            <w:shd w:val="clear" w:color="auto" w:fill="00B0F0"/>
            <w:vAlign w:val="center"/>
          </w:tcPr>
          <w:p w14:paraId="0BD24CB7" w14:textId="7B9A1E57" w:rsidR="006D25BE" w:rsidRPr="007B5270" w:rsidRDefault="006D25BE" w:rsidP="006D25BE">
            <w:pPr>
              <w:spacing w:after="0"/>
              <w:jc w:val="center"/>
              <w:rPr>
                <w:rFonts w:cs="Times New Roman"/>
                <w:sz w:val="20"/>
                <w:szCs w:val="20"/>
                <w:lang w:val="ro-RO" w:eastAsia="ru-RU"/>
              </w:rPr>
            </w:pPr>
            <w:r w:rsidRPr="00324E95">
              <w:rPr>
                <w:bCs/>
                <w:color w:val="000000"/>
                <w:sz w:val="20"/>
                <w:szCs w:val="20"/>
              </w:rPr>
              <w:t>6</w:t>
            </w:r>
            <w:r w:rsidR="007B5270">
              <w:rPr>
                <w:bCs/>
                <w:color w:val="000000"/>
                <w:sz w:val="20"/>
                <w:szCs w:val="20"/>
                <w:lang w:val="ro-RO"/>
              </w:rPr>
              <w:t>4</w:t>
            </w:r>
            <w:r w:rsidRPr="00324E95">
              <w:rPr>
                <w:bCs/>
                <w:color w:val="000000"/>
                <w:sz w:val="20"/>
                <w:szCs w:val="20"/>
              </w:rPr>
              <w:t>.</w:t>
            </w:r>
            <w:r w:rsidR="007B5270">
              <w:rPr>
                <w:bCs/>
                <w:color w:val="000000"/>
                <w:sz w:val="20"/>
                <w:szCs w:val="20"/>
                <w:lang w:val="ro-RO"/>
              </w:rPr>
              <w:t>397</w:t>
            </w:r>
            <w:r w:rsidRPr="00324E95">
              <w:rPr>
                <w:bCs/>
                <w:color w:val="000000"/>
                <w:sz w:val="20"/>
                <w:szCs w:val="20"/>
              </w:rPr>
              <w:t>,</w:t>
            </w:r>
            <w:r w:rsidR="007B5270">
              <w:rPr>
                <w:bCs/>
                <w:color w:val="000000"/>
                <w:sz w:val="20"/>
                <w:szCs w:val="20"/>
                <w:lang w:val="ro-RO"/>
              </w:rPr>
              <w:t>8</w:t>
            </w:r>
          </w:p>
        </w:tc>
        <w:tc>
          <w:tcPr>
            <w:tcW w:w="551" w:type="pct"/>
            <w:shd w:val="clear" w:color="auto" w:fill="00B0F0"/>
            <w:vAlign w:val="center"/>
          </w:tcPr>
          <w:p w14:paraId="2AE4268E" w14:textId="7ADF420D" w:rsidR="006D25BE" w:rsidRPr="007B5270" w:rsidRDefault="006D25BE" w:rsidP="006D25BE">
            <w:pPr>
              <w:spacing w:after="0"/>
              <w:jc w:val="center"/>
              <w:rPr>
                <w:rFonts w:cs="Times New Roman"/>
                <w:sz w:val="20"/>
                <w:szCs w:val="20"/>
                <w:lang w:val="ro-RO" w:eastAsia="ru-RU"/>
              </w:rPr>
            </w:pPr>
            <w:r w:rsidRPr="00324E95">
              <w:rPr>
                <w:bCs/>
                <w:color w:val="000000"/>
                <w:sz w:val="20"/>
                <w:szCs w:val="20"/>
              </w:rPr>
              <w:t>5</w:t>
            </w:r>
            <w:r w:rsidR="007B5270">
              <w:rPr>
                <w:bCs/>
                <w:color w:val="000000"/>
                <w:sz w:val="20"/>
                <w:szCs w:val="20"/>
                <w:lang w:val="ro-RO"/>
              </w:rPr>
              <w:t>2</w:t>
            </w:r>
            <w:r w:rsidRPr="00324E95">
              <w:rPr>
                <w:bCs/>
                <w:color w:val="000000"/>
                <w:sz w:val="20"/>
                <w:szCs w:val="20"/>
              </w:rPr>
              <w:t>.</w:t>
            </w:r>
            <w:r w:rsidR="007B5270">
              <w:rPr>
                <w:bCs/>
                <w:color w:val="000000"/>
                <w:sz w:val="20"/>
                <w:szCs w:val="20"/>
                <w:lang w:val="ro-RO"/>
              </w:rPr>
              <w:t>286</w:t>
            </w:r>
            <w:r w:rsidRPr="00324E95">
              <w:rPr>
                <w:bCs/>
                <w:color w:val="000000"/>
                <w:sz w:val="20"/>
                <w:szCs w:val="20"/>
              </w:rPr>
              <w:t>,</w:t>
            </w:r>
            <w:r w:rsidR="007B5270">
              <w:rPr>
                <w:bCs/>
                <w:color w:val="000000"/>
                <w:sz w:val="20"/>
                <w:szCs w:val="20"/>
                <w:lang w:val="ro-RO"/>
              </w:rPr>
              <w:t>9</w:t>
            </w:r>
          </w:p>
        </w:tc>
      </w:tr>
      <w:tr w:rsidR="00324E95" w:rsidRPr="005B7C9A" w14:paraId="1B93DDB8" w14:textId="0DA7CFA9" w:rsidTr="006D25BE">
        <w:trPr>
          <w:trHeight w:val="90"/>
        </w:trPr>
        <w:tc>
          <w:tcPr>
            <w:tcW w:w="1552" w:type="pct"/>
            <w:shd w:val="clear" w:color="auto" w:fill="FFFFFF"/>
            <w:vAlign w:val="center"/>
          </w:tcPr>
          <w:p w14:paraId="2956BD2C" w14:textId="77777777" w:rsidR="00657BDD" w:rsidRPr="005921C0" w:rsidRDefault="00657BDD" w:rsidP="006A2852">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shd w:val="clear" w:color="auto" w:fill="FFFFFF"/>
            <w:vAlign w:val="center"/>
          </w:tcPr>
          <w:p w14:paraId="7FA4195C" w14:textId="6D4B60EE" w:rsidR="00657BDD" w:rsidRPr="005921C0" w:rsidRDefault="00F87F75" w:rsidP="006A2852">
            <w:pPr>
              <w:spacing w:after="0"/>
              <w:jc w:val="center"/>
              <w:rPr>
                <w:rFonts w:cs="Times New Roman"/>
                <w:i/>
                <w:iCs/>
                <w:sz w:val="20"/>
                <w:szCs w:val="20"/>
                <w:lang w:val="ro-RO" w:eastAsia="ru-RU"/>
              </w:rPr>
            </w:pPr>
            <w:r>
              <w:rPr>
                <w:rFonts w:cs="Times New Roman"/>
                <w:i/>
                <w:iCs/>
                <w:sz w:val="20"/>
                <w:szCs w:val="20"/>
                <w:lang w:val="ro-RO" w:eastAsia="ru-RU"/>
              </w:rPr>
              <w:t>6</w:t>
            </w:r>
            <w:r w:rsidR="007B5270">
              <w:rPr>
                <w:rFonts w:cs="Times New Roman"/>
                <w:i/>
                <w:iCs/>
                <w:sz w:val="20"/>
                <w:szCs w:val="20"/>
                <w:lang w:val="ro-RO" w:eastAsia="ru-RU"/>
              </w:rPr>
              <w:t>50</w:t>
            </w:r>
            <w:r>
              <w:rPr>
                <w:rFonts w:cs="Times New Roman"/>
                <w:i/>
                <w:iCs/>
                <w:sz w:val="20"/>
                <w:szCs w:val="20"/>
                <w:lang w:val="ro-RO" w:eastAsia="ru-RU"/>
              </w:rPr>
              <w:t>.</w:t>
            </w:r>
            <w:r w:rsidR="007B5270">
              <w:rPr>
                <w:rFonts w:cs="Times New Roman"/>
                <w:i/>
                <w:iCs/>
                <w:sz w:val="20"/>
                <w:szCs w:val="20"/>
                <w:lang w:val="ro-RO" w:eastAsia="ru-RU"/>
              </w:rPr>
              <w:t>944</w:t>
            </w:r>
            <w:r>
              <w:rPr>
                <w:rFonts w:cs="Times New Roman"/>
                <w:i/>
                <w:iCs/>
                <w:sz w:val="20"/>
                <w:szCs w:val="20"/>
                <w:lang w:val="ro-RO" w:eastAsia="ru-RU"/>
              </w:rPr>
              <w:t>,0</w:t>
            </w:r>
          </w:p>
        </w:tc>
        <w:tc>
          <w:tcPr>
            <w:tcW w:w="538" w:type="pct"/>
            <w:shd w:val="clear" w:color="auto" w:fill="FFFFFF"/>
            <w:vAlign w:val="center"/>
          </w:tcPr>
          <w:p w14:paraId="556DD4D8" w14:textId="08981C49" w:rsidR="00657BDD" w:rsidRPr="005921C0" w:rsidRDefault="00BD23F1" w:rsidP="006A2852">
            <w:pPr>
              <w:spacing w:after="0"/>
              <w:jc w:val="center"/>
              <w:rPr>
                <w:rFonts w:cs="Times New Roman"/>
                <w:i/>
                <w:iCs/>
                <w:sz w:val="20"/>
                <w:szCs w:val="20"/>
                <w:lang w:val="ro-RO" w:eastAsia="ru-RU"/>
              </w:rPr>
            </w:pPr>
            <w:r>
              <w:rPr>
                <w:rFonts w:cs="Times New Roman"/>
                <w:i/>
                <w:iCs/>
                <w:sz w:val="20"/>
                <w:szCs w:val="20"/>
                <w:lang w:val="ro-RO" w:eastAsia="ru-RU"/>
              </w:rPr>
              <w:t>259.923,5</w:t>
            </w:r>
          </w:p>
        </w:tc>
        <w:tc>
          <w:tcPr>
            <w:tcW w:w="596" w:type="pct"/>
            <w:shd w:val="clear" w:color="auto" w:fill="FFFFFF"/>
            <w:vAlign w:val="center"/>
          </w:tcPr>
          <w:p w14:paraId="718B52C9" w14:textId="14B7818A" w:rsidR="00657BDD" w:rsidRPr="005921C0" w:rsidRDefault="00BD23F1" w:rsidP="006A2852">
            <w:pPr>
              <w:spacing w:after="0"/>
              <w:jc w:val="center"/>
              <w:rPr>
                <w:rFonts w:cs="Times New Roman"/>
                <w:i/>
                <w:iCs/>
                <w:sz w:val="20"/>
                <w:szCs w:val="20"/>
                <w:lang w:val="ro-RO" w:eastAsia="ru-RU"/>
              </w:rPr>
            </w:pPr>
            <w:r>
              <w:rPr>
                <w:rFonts w:cs="Times New Roman"/>
                <w:i/>
                <w:iCs/>
                <w:sz w:val="20"/>
                <w:szCs w:val="20"/>
                <w:lang w:val="ro-RO" w:eastAsia="ru-RU"/>
              </w:rPr>
              <w:t>215</w:t>
            </w:r>
            <w:r w:rsidR="007B5270">
              <w:rPr>
                <w:rFonts w:cs="Times New Roman"/>
                <w:i/>
                <w:iCs/>
                <w:sz w:val="20"/>
                <w:szCs w:val="20"/>
                <w:lang w:val="ro-RO" w:eastAsia="ru-RU"/>
              </w:rPr>
              <w:t>.</w:t>
            </w:r>
            <w:r>
              <w:rPr>
                <w:rFonts w:cs="Times New Roman"/>
                <w:i/>
                <w:iCs/>
                <w:sz w:val="20"/>
                <w:szCs w:val="20"/>
                <w:lang w:val="ro-RO" w:eastAsia="ru-RU"/>
              </w:rPr>
              <w:t>541,0</w:t>
            </w:r>
          </w:p>
        </w:tc>
        <w:tc>
          <w:tcPr>
            <w:tcW w:w="557" w:type="pct"/>
            <w:shd w:val="clear" w:color="auto" w:fill="FFFFFF"/>
            <w:vAlign w:val="center"/>
          </w:tcPr>
          <w:p w14:paraId="08F3CD94" w14:textId="5A4FE683" w:rsidR="00657BDD"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61.380,8</w:t>
            </w:r>
          </w:p>
        </w:tc>
        <w:tc>
          <w:tcPr>
            <w:tcW w:w="551" w:type="pct"/>
            <w:shd w:val="clear" w:color="auto" w:fill="FFFFFF"/>
            <w:vAlign w:val="center"/>
          </w:tcPr>
          <w:p w14:paraId="0C225141" w14:textId="62A94E2E" w:rsidR="00657BDD"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60.811,8</w:t>
            </w:r>
          </w:p>
        </w:tc>
        <w:tc>
          <w:tcPr>
            <w:tcW w:w="551" w:type="pct"/>
            <w:shd w:val="clear" w:color="auto" w:fill="FFFFFF"/>
          </w:tcPr>
          <w:p w14:paraId="79D6311A" w14:textId="0CBA505A" w:rsidR="00657BDD"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53.286,9</w:t>
            </w:r>
          </w:p>
        </w:tc>
      </w:tr>
      <w:tr w:rsidR="00324E95" w:rsidRPr="005B7C9A" w14:paraId="5E5BD154" w14:textId="2926A0D1" w:rsidTr="006D25BE">
        <w:trPr>
          <w:trHeight w:val="53"/>
        </w:trPr>
        <w:tc>
          <w:tcPr>
            <w:tcW w:w="1552" w:type="pct"/>
            <w:shd w:val="clear" w:color="auto" w:fill="FFFFFF"/>
            <w:vAlign w:val="center"/>
          </w:tcPr>
          <w:p w14:paraId="12AD8AAD" w14:textId="058C477B" w:rsidR="00657BDD" w:rsidRPr="005921C0" w:rsidRDefault="00657BDD" w:rsidP="006A2852">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sidR="00650051">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shd w:val="clear" w:color="auto" w:fill="FFFFFF"/>
            <w:vAlign w:val="center"/>
          </w:tcPr>
          <w:p w14:paraId="26ADD67B" w14:textId="4A806ECC" w:rsidR="00657BDD" w:rsidRPr="005921C0" w:rsidRDefault="007B5270" w:rsidP="006A2852">
            <w:pPr>
              <w:spacing w:after="0"/>
              <w:jc w:val="center"/>
              <w:rPr>
                <w:rFonts w:cs="Times New Roman"/>
                <w:i/>
                <w:iCs/>
                <w:sz w:val="20"/>
                <w:szCs w:val="20"/>
                <w:lang w:val="ro-RO" w:eastAsia="ru-RU"/>
              </w:rPr>
            </w:pPr>
            <w:r>
              <w:rPr>
                <w:rFonts w:cs="Times New Roman"/>
                <w:i/>
                <w:iCs/>
                <w:sz w:val="20"/>
                <w:szCs w:val="20"/>
                <w:lang w:val="ro-RO" w:eastAsia="ru-RU"/>
              </w:rPr>
              <w:t>21</w:t>
            </w:r>
            <w:r w:rsidR="00650051">
              <w:rPr>
                <w:rFonts w:cs="Times New Roman"/>
                <w:i/>
                <w:iCs/>
                <w:sz w:val="20"/>
                <w:szCs w:val="20"/>
                <w:lang w:val="ro-RO" w:eastAsia="ru-RU"/>
              </w:rPr>
              <w:t>.</w:t>
            </w:r>
            <w:r>
              <w:rPr>
                <w:rFonts w:cs="Times New Roman"/>
                <w:i/>
                <w:iCs/>
                <w:sz w:val="20"/>
                <w:szCs w:val="20"/>
                <w:lang w:val="ro-RO" w:eastAsia="ru-RU"/>
              </w:rPr>
              <w:t>358</w:t>
            </w:r>
            <w:r w:rsidR="00650051">
              <w:rPr>
                <w:rFonts w:cs="Times New Roman"/>
                <w:i/>
                <w:iCs/>
                <w:sz w:val="20"/>
                <w:szCs w:val="20"/>
                <w:lang w:val="ro-RO" w:eastAsia="ru-RU"/>
              </w:rPr>
              <w:t>,0</w:t>
            </w:r>
          </w:p>
        </w:tc>
        <w:tc>
          <w:tcPr>
            <w:tcW w:w="538" w:type="pct"/>
            <w:shd w:val="clear" w:color="auto" w:fill="FFFFFF"/>
            <w:vAlign w:val="center"/>
          </w:tcPr>
          <w:p w14:paraId="7609F908" w14:textId="2BC78D3F" w:rsidR="00657BDD" w:rsidRPr="005921C0" w:rsidRDefault="00BD23F1" w:rsidP="006A2852">
            <w:pPr>
              <w:spacing w:after="0"/>
              <w:jc w:val="center"/>
              <w:rPr>
                <w:rFonts w:cs="Times New Roman"/>
                <w:i/>
                <w:iCs/>
                <w:sz w:val="20"/>
                <w:szCs w:val="20"/>
                <w:lang w:val="ro-RO" w:eastAsia="ru-RU"/>
              </w:rPr>
            </w:pPr>
            <w:r>
              <w:rPr>
                <w:rFonts w:cs="Times New Roman"/>
                <w:i/>
                <w:iCs/>
                <w:sz w:val="20"/>
                <w:szCs w:val="20"/>
                <w:lang w:val="ro-RO" w:eastAsia="ru-RU"/>
              </w:rPr>
              <w:t>5</w:t>
            </w:r>
            <w:r w:rsidR="00EE512F">
              <w:rPr>
                <w:rFonts w:cs="Times New Roman"/>
                <w:i/>
                <w:iCs/>
                <w:sz w:val="20"/>
                <w:szCs w:val="20"/>
                <w:lang w:val="ro-RO" w:eastAsia="ru-RU"/>
              </w:rPr>
              <w:t>.</w:t>
            </w:r>
            <w:r>
              <w:rPr>
                <w:rFonts w:cs="Times New Roman"/>
                <w:i/>
                <w:iCs/>
                <w:sz w:val="20"/>
                <w:szCs w:val="20"/>
                <w:lang w:val="ro-RO" w:eastAsia="ru-RU"/>
              </w:rPr>
              <w:t>000,0</w:t>
            </w:r>
          </w:p>
        </w:tc>
        <w:tc>
          <w:tcPr>
            <w:tcW w:w="596" w:type="pct"/>
            <w:shd w:val="clear" w:color="auto" w:fill="FFFFFF"/>
            <w:vAlign w:val="center"/>
          </w:tcPr>
          <w:p w14:paraId="77A3ABA1" w14:textId="1FBC1ABE" w:rsidR="00657BDD" w:rsidRPr="005921C0" w:rsidRDefault="00EE512F" w:rsidP="006A2852">
            <w:pPr>
              <w:spacing w:after="0"/>
              <w:jc w:val="center"/>
              <w:textAlignment w:val="center"/>
              <w:rPr>
                <w:rFonts w:cs="Times New Roman"/>
                <w:i/>
                <w:iCs/>
                <w:sz w:val="20"/>
                <w:szCs w:val="20"/>
                <w:lang w:val="ro-RO" w:eastAsia="ru-RU"/>
              </w:rPr>
            </w:pPr>
            <w:r>
              <w:rPr>
                <w:rFonts w:cs="Times New Roman"/>
                <w:i/>
                <w:iCs/>
                <w:sz w:val="20"/>
                <w:szCs w:val="20"/>
                <w:lang w:val="ro-RO" w:eastAsia="ru-RU"/>
              </w:rPr>
              <w:t>13.386,0</w:t>
            </w:r>
          </w:p>
        </w:tc>
        <w:tc>
          <w:tcPr>
            <w:tcW w:w="557" w:type="pct"/>
            <w:shd w:val="clear" w:color="auto" w:fill="FFFFFF"/>
            <w:vAlign w:val="center"/>
          </w:tcPr>
          <w:p w14:paraId="5CFC25EA" w14:textId="5AA07260" w:rsidR="00657BDD" w:rsidRPr="005921C0" w:rsidRDefault="00EE512F" w:rsidP="006A2852">
            <w:pPr>
              <w:spacing w:after="0"/>
              <w:jc w:val="center"/>
              <w:textAlignment w:val="bottom"/>
              <w:rPr>
                <w:rFonts w:cs="Times New Roman"/>
                <w:i/>
                <w:iCs/>
                <w:sz w:val="20"/>
                <w:szCs w:val="20"/>
                <w:lang w:val="ro-RO" w:eastAsia="ru-RU"/>
              </w:rPr>
            </w:pPr>
            <w:r>
              <w:rPr>
                <w:rFonts w:cs="Times New Roman"/>
                <w:i/>
                <w:iCs/>
                <w:sz w:val="20"/>
                <w:szCs w:val="20"/>
                <w:lang w:val="ro-RO" w:eastAsia="ru-RU"/>
              </w:rPr>
              <w:t>1.386,0</w:t>
            </w:r>
          </w:p>
        </w:tc>
        <w:tc>
          <w:tcPr>
            <w:tcW w:w="551" w:type="pct"/>
            <w:shd w:val="clear" w:color="auto" w:fill="FFFFFF"/>
            <w:vAlign w:val="center"/>
          </w:tcPr>
          <w:p w14:paraId="50476789" w14:textId="1429317A" w:rsidR="00657BDD"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1.586,0</w:t>
            </w:r>
          </w:p>
        </w:tc>
        <w:tc>
          <w:tcPr>
            <w:tcW w:w="551" w:type="pct"/>
            <w:shd w:val="clear" w:color="auto" w:fill="FFFFFF"/>
          </w:tcPr>
          <w:p w14:paraId="49F43AD5" w14:textId="2182696E" w:rsidR="00657BDD"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0</w:t>
            </w:r>
          </w:p>
        </w:tc>
      </w:tr>
      <w:tr w:rsidR="00650051" w:rsidRPr="005B7C9A" w14:paraId="461E309C" w14:textId="77777777" w:rsidTr="006D25BE">
        <w:trPr>
          <w:trHeight w:val="53"/>
        </w:trPr>
        <w:tc>
          <w:tcPr>
            <w:tcW w:w="1552" w:type="pct"/>
            <w:shd w:val="clear" w:color="auto" w:fill="FFFFFF"/>
            <w:vAlign w:val="center"/>
          </w:tcPr>
          <w:p w14:paraId="3E0C5A0E" w14:textId="79F445DA" w:rsidR="00650051" w:rsidRPr="005921C0" w:rsidRDefault="00650051" w:rsidP="006A2852">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shd w:val="clear" w:color="auto" w:fill="FFFFFF"/>
            <w:vAlign w:val="center"/>
          </w:tcPr>
          <w:p w14:paraId="7AE7A393" w14:textId="6FE866AA" w:rsidR="00650051" w:rsidRPr="005921C0" w:rsidRDefault="00650051" w:rsidP="006A2852">
            <w:pPr>
              <w:spacing w:after="0"/>
              <w:jc w:val="center"/>
              <w:rPr>
                <w:rFonts w:cs="Times New Roman"/>
                <w:i/>
                <w:iCs/>
                <w:sz w:val="20"/>
                <w:szCs w:val="20"/>
                <w:lang w:val="ro-RO" w:eastAsia="ru-RU"/>
              </w:rPr>
            </w:pPr>
            <w:r>
              <w:rPr>
                <w:rFonts w:cs="Times New Roman"/>
                <w:i/>
                <w:iCs/>
                <w:sz w:val="20"/>
                <w:szCs w:val="20"/>
                <w:lang w:val="ro-RO" w:eastAsia="ru-RU"/>
              </w:rPr>
              <w:t>3.180,0</w:t>
            </w:r>
          </w:p>
        </w:tc>
        <w:tc>
          <w:tcPr>
            <w:tcW w:w="538" w:type="pct"/>
            <w:shd w:val="clear" w:color="auto" w:fill="FFFFFF"/>
            <w:vAlign w:val="center"/>
          </w:tcPr>
          <w:p w14:paraId="237B2C19" w14:textId="220ED3BC" w:rsidR="00650051" w:rsidRPr="005921C0" w:rsidRDefault="00BD23F1" w:rsidP="006A2852">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shd w:val="clear" w:color="auto" w:fill="FFFFFF"/>
            <w:vAlign w:val="center"/>
          </w:tcPr>
          <w:p w14:paraId="475791EC" w14:textId="5850B89F" w:rsidR="00650051" w:rsidRPr="005921C0" w:rsidRDefault="00EE512F" w:rsidP="006A2852">
            <w:pPr>
              <w:spacing w:after="0"/>
              <w:jc w:val="center"/>
              <w:textAlignment w:val="center"/>
              <w:rPr>
                <w:rFonts w:cs="Times New Roman"/>
                <w:i/>
                <w:iCs/>
                <w:sz w:val="20"/>
                <w:szCs w:val="20"/>
                <w:lang w:val="ro-RO" w:eastAsia="ru-RU"/>
              </w:rPr>
            </w:pPr>
            <w:r>
              <w:rPr>
                <w:rFonts w:cs="Times New Roman"/>
                <w:i/>
                <w:iCs/>
                <w:sz w:val="20"/>
                <w:szCs w:val="20"/>
                <w:lang w:val="ro-RO" w:eastAsia="ru-RU"/>
              </w:rPr>
              <w:t>1.080,0</w:t>
            </w:r>
          </w:p>
        </w:tc>
        <w:tc>
          <w:tcPr>
            <w:tcW w:w="557" w:type="pct"/>
            <w:shd w:val="clear" w:color="auto" w:fill="FFFFFF"/>
            <w:vAlign w:val="center"/>
          </w:tcPr>
          <w:p w14:paraId="0585F895" w14:textId="2AA67D7E" w:rsidR="00650051" w:rsidRPr="005921C0" w:rsidRDefault="00EE512F" w:rsidP="006A2852">
            <w:pPr>
              <w:spacing w:after="0"/>
              <w:jc w:val="center"/>
              <w:textAlignment w:val="bottom"/>
              <w:rPr>
                <w:rFonts w:cs="Times New Roman"/>
                <w:i/>
                <w:iCs/>
                <w:sz w:val="20"/>
                <w:szCs w:val="20"/>
                <w:lang w:val="ro-RO" w:eastAsia="ru-RU"/>
              </w:rPr>
            </w:pPr>
            <w:r>
              <w:rPr>
                <w:rFonts w:cs="Times New Roman"/>
                <w:i/>
                <w:iCs/>
                <w:sz w:val="20"/>
                <w:szCs w:val="20"/>
                <w:lang w:val="ro-RO" w:eastAsia="ru-RU"/>
              </w:rPr>
              <w:t>100,0</w:t>
            </w:r>
          </w:p>
        </w:tc>
        <w:tc>
          <w:tcPr>
            <w:tcW w:w="551" w:type="pct"/>
            <w:shd w:val="clear" w:color="auto" w:fill="FFFFFF"/>
            <w:vAlign w:val="center"/>
          </w:tcPr>
          <w:p w14:paraId="7F9E2A8A" w14:textId="0B5BC4FA" w:rsidR="00650051"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2.000,0</w:t>
            </w:r>
          </w:p>
        </w:tc>
        <w:tc>
          <w:tcPr>
            <w:tcW w:w="551" w:type="pct"/>
            <w:shd w:val="clear" w:color="auto" w:fill="FFFFFF"/>
          </w:tcPr>
          <w:p w14:paraId="71D2FC19" w14:textId="231355A3" w:rsidR="00650051" w:rsidRPr="005921C0" w:rsidRDefault="00EE512F" w:rsidP="006A2852">
            <w:pPr>
              <w:spacing w:after="0"/>
              <w:jc w:val="center"/>
              <w:rPr>
                <w:rFonts w:cs="Times New Roman"/>
                <w:i/>
                <w:iCs/>
                <w:sz w:val="20"/>
                <w:szCs w:val="20"/>
                <w:lang w:val="ro-RO" w:eastAsia="ru-RU"/>
              </w:rPr>
            </w:pPr>
            <w:r>
              <w:rPr>
                <w:rFonts w:cs="Times New Roman"/>
                <w:i/>
                <w:iCs/>
                <w:sz w:val="20"/>
                <w:szCs w:val="20"/>
                <w:lang w:val="ro-RO" w:eastAsia="ru-RU"/>
              </w:rPr>
              <w:t>0</w:t>
            </w:r>
          </w:p>
        </w:tc>
      </w:tr>
      <w:tr w:rsidR="006D25BE" w:rsidRPr="005B7C9A" w14:paraId="2E77A85C" w14:textId="3981CD1A" w:rsidTr="007B5270">
        <w:trPr>
          <w:trHeight w:val="1146"/>
        </w:trPr>
        <w:tc>
          <w:tcPr>
            <w:tcW w:w="1552" w:type="pct"/>
            <w:shd w:val="clear" w:color="auto" w:fill="00B0F0"/>
            <w:vAlign w:val="center"/>
          </w:tcPr>
          <w:p w14:paraId="037A6633" w14:textId="37139F49" w:rsidR="00657BDD" w:rsidRPr="005921C0" w:rsidRDefault="00657BDD" w:rsidP="00657BDD">
            <w:pPr>
              <w:spacing w:after="0"/>
              <w:jc w:val="both"/>
              <w:rPr>
                <w:rFonts w:eastAsia="Calibri" w:cs="Times New Roman"/>
                <w:bCs/>
                <w:sz w:val="20"/>
                <w:szCs w:val="20"/>
                <w:lang w:val="ro-RO" w:eastAsia="ru-RU"/>
              </w:rPr>
            </w:pPr>
            <w:r w:rsidRPr="005921C0">
              <w:rPr>
                <w:rFonts w:cs="Times New Roman"/>
                <w:b/>
                <w:sz w:val="20"/>
                <w:szCs w:val="20"/>
                <w:lang w:val="ro-RO" w:eastAsia="ru-RU"/>
              </w:rPr>
              <w:t>1.2.</w:t>
            </w:r>
            <w:r w:rsidRPr="005921C0">
              <w:rPr>
                <w:rFonts w:cs="Times New Roman"/>
                <w:sz w:val="20"/>
                <w:szCs w:val="20"/>
                <w:lang w:val="ro-RO" w:eastAsia="ru-RU"/>
              </w:rPr>
              <w:t xml:space="preserve"> </w:t>
            </w:r>
            <w:r w:rsidRPr="005921C0">
              <w:rPr>
                <w:rFonts w:eastAsia="Calibri" w:cs="Times New Roman"/>
                <w:bCs/>
                <w:sz w:val="20"/>
                <w:szCs w:val="20"/>
                <w:lang w:val="ro-RO" w:eastAsia="ru-RU"/>
              </w:rPr>
              <w:t>Surse de date integrate și dezvoltate pentru a genera informații cu valoare adăugată, care vor servi drept suport la luarea deciziilor până în anul 2030</w:t>
            </w:r>
          </w:p>
        </w:tc>
        <w:tc>
          <w:tcPr>
            <w:tcW w:w="655" w:type="pct"/>
            <w:shd w:val="clear" w:color="auto" w:fill="00B0F0"/>
            <w:vAlign w:val="center"/>
          </w:tcPr>
          <w:p w14:paraId="09AF6E79" w14:textId="660F8D7E" w:rsidR="00657BDD" w:rsidRPr="00BA4690" w:rsidRDefault="00657BDD" w:rsidP="00657BDD">
            <w:pPr>
              <w:spacing w:after="0"/>
              <w:jc w:val="center"/>
              <w:rPr>
                <w:rFonts w:cs="Times New Roman"/>
                <w:sz w:val="20"/>
                <w:szCs w:val="20"/>
                <w:lang w:val="ro-RO" w:eastAsia="ru-RU"/>
              </w:rPr>
            </w:pPr>
            <w:r w:rsidRPr="005921C0">
              <w:rPr>
                <w:rFonts w:cs="Times New Roman"/>
                <w:bCs/>
                <w:sz w:val="20"/>
                <w:szCs w:val="20"/>
              </w:rPr>
              <w:t>99</w:t>
            </w:r>
            <w:r w:rsidR="00BA4690">
              <w:rPr>
                <w:rFonts w:cs="Times New Roman"/>
                <w:bCs/>
                <w:sz w:val="20"/>
                <w:szCs w:val="20"/>
                <w:lang w:val="ro-RO"/>
              </w:rPr>
              <w:t>5</w:t>
            </w:r>
            <w:r w:rsidRPr="005921C0">
              <w:rPr>
                <w:rFonts w:cs="Times New Roman"/>
                <w:bCs/>
                <w:sz w:val="20"/>
                <w:szCs w:val="20"/>
              </w:rPr>
              <w:t>,</w:t>
            </w:r>
            <w:r w:rsidR="00BA4690">
              <w:rPr>
                <w:rFonts w:cs="Times New Roman"/>
                <w:bCs/>
                <w:sz w:val="20"/>
                <w:szCs w:val="20"/>
                <w:lang w:val="ro-RO"/>
              </w:rPr>
              <w:t>1</w:t>
            </w:r>
          </w:p>
        </w:tc>
        <w:tc>
          <w:tcPr>
            <w:tcW w:w="538" w:type="pct"/>
            <w:shd w:val="clear" w:color="auto" w:fill="00B0F0"/>
            <w:vAlign w:val="center"/>
          </w:tcPr>
          <w:p w14:paraId="2A2DD76C" w14:textId="41B77441" w:rsidR="00657BDD" w:rsidRPr="005921C0" w:rsidRDefault="00650051" w:rsidP="00657BDD">
            <w:pPr>
              <w:spacing w:after="0"/>
              <w:jc w:val="center"/>
              <w:rPr>
                <w:rFonts w:cs="Times New Roman"/>
                <w:sz w:val="20"/>
                <w:szCs w:val="20"/>
                <w:lang w:val="ro-RO" w:eastAsia="ru-RU"/>
              </w:rPr>
            </w:pPr>
            <w:r>
              <w:rPr>
                <w:rFonts w:cs="Times New Roman"/>
                <w:sz w:val="20"/>
                <w:szCs w:val="20"/>
                <w:lang w:val="ro-RO" w:eastAsia="ru-RU"/>
              </w:rPr>
              <w:t>0</w:t>
            </w:r>
          </w:p>
        </w:tc>
        <w:tc>
          <w:tcPr>
            <w:tcW w:w="596" w:type="pct"/>
            <w:shd w:val="clear" w:color="auto" w:fill="00B0F0"/>
            <w:vAlign w:val="center"/>
          </w:tcPr>
          <w:p w14:paraId="3BAE1E4E" w14:textId="0264CCDF"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189,1</w:t>
            </w:r>
          </w:p>
        </w:tc>
        <w:tc>
          <w:tcPr>
            <w:tcW w:w="557" w:type="pct"/>
            <w:shd w:val="clear" w:color="auto" w:fill="00B0F0"/>
            <w:vAlign w:val="center"/>
          </w:tcPr>
          <w:p w14:paraId="21CD6889" w14:textId="35F3BC0D" w:rsidR="00657BDD" w:rsidRPr="005921C0" w:rsidRDefault="00650051" w:rsidP="00657BDD">
            <w:pPr>
              <w:spacing w:after="0"/>
              <w:jc w:val="center"/>
              <w:rPr>
                <w:rFonts w:cs="Times New Roman"/>
                <w:sz w:val="20"/>
                <w:szCs w:val="20"/>
                <w:lang w:val="ro-RO" w:eastAsia="ru-RU"/>
              </w:rPr>
            </w:pPr>
            <w:r>
              <w:rPr>
                <w:rFonts w:cs="Times New Roman"/>
                <w:sz w:val="20"/>
                <w:szCs w:val="20"/>
                <w:lang w:val="ro-RO" w:eastAsia="ru-RU"/>
              </w:rPr>
              <w:t>0</w:t>
            </w:r>
          </w:p>
        </w:tc>
        <w:tc>
          <w:tcPr>
            <w:tcW w:w="551" w:type="pct"/>
            <w:shd w:val="clear" w:color="auto" w:fill="00B0F0"/>
            <w:vAlign w:val="center"/>
          </w:tcPr>
          <w:p w14:paraId="60300D36" w14:textId="534B3CA0"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610,9</w:t>
            </w:r>
          </w:p>
        </w:tc>
        <w:tc>
          <w:tcPr>
            <w:tcW w:w="551" w:type="pct"/>
            <w:shd w:val="clear" w:color="auto" w:fill="00B0F0"/>
            <w:vAlign w:val="center"/>
          </w:tcPr>
          <w:p w14:paraId="43A6427A" w14:textId="0861B4F3"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196,0</w:t>
            </w:r>
          </w:p>
        </w:tc>
      </w:tr>
      <w:tr w:rsidR="00650051" w:rsidRPr="005B7C9A" w14:paraId="592A19E6" w14:textId="5C51089A" w:rsidTr="006D25BE">
        <w:trPr>
          <w:trHeight w:val="90"/>
        </w:trPr>
        <w:tc>
          <w:tcPr>
            <w:tcW w:w="1552" w:type="pct"/>
            <w:shd w:val="clear" w:color="auto" w:fill="FFFFFF"/>
            <w:vAlign w:val="center"/>
          </w:tcPr>
          <w:p w14:paraId="3F829FCC" w14:textId="522382FD"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11392ECD" w14:textId="7B4754B3" w:rsidR="00650051" w:rsidRPr="005921C0" w:rsidRDefault="00650051" w:rsidP="00650051">
            <w:pPr>
              <w:spacing w:after="0"/>
              <w:jc w:val="center"/>
              <w:rPr>
                <w:rFonts w:cs="Times New Roman"/>
                <w:i/>
                <w:iCs/>
                <w:sz w:val="20"/>
                <w:szCs w:val="20"/>
                <w:lang w:val="ro-RO" w:eastAsia="ru-RU"/>
              </w:rPr>
            </w:pPr>
            <w:r>
              <w:rPr>
                <w:rFonts w:cs="Times New Roman"/>
                <w:i/>
                <w:iCs/>
                <w:sz w:val="20"/>
                <w:szCs w:val="20"/>
                <w:lang w:val="ro-RO" w:eastAsia="ru-RU"/>
              </w:rPr>
              <w:t>99</w:t>
            </w:r>
            <w:r w:rsidR="00BA4690">
              <w:rPr>
                <w:rFonts w:cs="Times New Roman"/>
                <w:i/>
                <w:iCs/>
                <w:sz w:val="20"/>
                <w:szCs w:val="20"/>
                <w:lang w:val="ro-RO" w:eastAsia="ru-RU"/>
              </w:rPr>
              <w:t>5</w:t>
            </w:r>
            <w:r>
              <w:rPr>
                <w:rFonts w:cs="Times New Roman"/>
                <w:i/>
                <w:iCs/>
                <w:sz w:val="20"/>
                <w:szCs w:val="20"/>
                <w:lang w:val="ro-RO" w:eastAsia="ru-RU"/>
              </w:rPr>
              <w:t>,</w:t>
            </w:r>
            <w:r w:rsidR="00BA4690">
              <w:rPr>
                <w:rFonts w:cs="Times New Roman"/>
                <w:i/>
                <w:iCs/>
                <w:sz w:val="20"/>
                <w:szCs w:val="20"/>
                <w:lang w:val="ro-RO" w:eastAsia="ru-RU"/>
              </w:rPr>
              <w:t>1</w:t>
            </w:r>
          </w:p>
        </w:tc>
        <w:tc>
          <w:tcPr>
            <w:tcW w:w="538" w:type="pct"/>
            <w:vAlign w:val="center"/>
          </w:tcPr>
          <w:p w14:paraId="59C53235" w14:textId="2C398675" w:rsidR="00650051" w:rsidRPr="005921C0" w:rsidRDefault="009905D5"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7D23FCE2" w14:textId="3DBDADD5"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189,1</w:t>
            </w:r>
          </w:p>
        </w:tc>
        <w:tc>
          <w:tcPr>
            <w:tcW w:w="557" w:type="pct"/>
            <w:vAlign w:val="center"/>
          </w:tcPr>
          <w:p w14:paraId="68A95DF0" w14:textId="11DAE033"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1" w:type="pct"/>
            <w:vAlign w:val="center"/>
          </w:tcPr>
          <w:p w14:paraId="4485B97F" w14:textId="01EB3E0D" w:rsidR="00650051" w:rsidRPr="009905D5" w:rsidRDefault="00357868" w:rsidP="00650051">
            <w:pPr>
              <w:spacing w:after="0"/>
              <w:jc w:val="center"/>
              <w:rPr>
                <w:rFonts w:cs="Times New Roman"/>
                <w:i/>
                <w:iCs/>
                <w:sz w:val="20"/>
                <w:szCs w:val="20"/>
                <w:lang w:val="ro-RO" w:eastAsia="ru-RU"/>
              </w:rPr>
            </w:pPr>
            <w:r>
              <w:rPr>
                <w:rFonts w:cs="Times New Roman"/>
                <w:i/>
                <w:iCs/>
                <w:sz w:val="20"/>
                <w:szCs w:val="20"/>
                <w:lang w:val="ro-RO" w:eastAsia="ru-RU"/>
              </w:rPr>
              <w:t>610,9</w:t>
            </w:r>
          </w:p>
        </w:tc>
        <w:tc>
          <w:tcPr>
            <w:tcW w:w="551" w:type="pct"/>
          </w:tcPr>
          <w:p w14:paraId="2BC3E452" w14:textId="75EC6287" w:rsidR="00650051" w:rsidRPr="009905D5" w:rsidRDefault="00357868" w:rsidP="00650051">
            <w:pPr>
              <w:spacing w:after="0"/>
              <w:jc w:val="center"/>
              <w:rPr>
                <w:rFonts w:cs="Times New Roman"/>
                <w:i/>
                <w:iCs/>
                <w:sz w:val="20"/>
                <w:szCs w:val="20"/>
                <w:lang w:val="ro-RO" w:eastAsia="ru-RU"/>
              </w:rPr>
            </w:pPr>
            <w:r>
              <w:rPr>
                <w:rFonts w:cs="Times New Roman"/>
                <w:i/>
                <w:iCs/>
                <w:sz w:val="20"/>
                <w:szCs w:val="20"/>
                <w:lang w:val="ro-RO" w:eastAsia="ru-RU"/>
              </w:rPr>
              <w:t>196,0</w:t>
            </w:r>
          </w:p>
        </w:tc>
      </w:tr>
      <w:tr w:rsidR="00650051" w:rsidRPr="005B7C9A" w14:paraId="7ABCD3B8" w14:textId="77777777" w:rsidTr="006D25BE">
        <w:trPr>
          <w:trHeight w:val="90"/>
        </w:trPr>
        <w:tc>
          <w:tcPr>
            <w:tcW w:w="1552" w:type="pct"/>
            <w:shd w:val="clear" w:color="auto" w:fill="FFFFFF"/>
            <w:vAlign w:val="center"/>
          </w:tcPr>
          <w:p w14:paraId="13D1032F" w14:textId="37650013"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5473E848" w14:textId="13AF5F50" w:rsidR="00650051" w:rsidRPr="005921C0" w:rsidRDefault="00772DA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38" w:type="pct"/>
            <w:vAlign w:val="center"/>
          </w:tcPr>
          <w:p w14:paraId="7DA2F38F" w14:textId="35E7F0CD" w:rsidR="00650051" w:rsidRPr="005921C0" w:rsidRDefault="009905D5"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6F66BA3E" w14:textId="5C8267F4"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7" w:type="pct"/>
            <w:vAlign w:val="center"/>
          </w:tcPr>
          <w:p w14:paraId="5303E21F" w14:textId="14D7AEDD"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1" w:type="pct"/>
            <w:vAlign w:val="center"/>
          </w:tcPr>
          <w:p w14:paraId="57069401" w14:textId="689962E1"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1" w:type="pct"/>
          </w:tcPr>
          <w:p w14:paraId="3268D4EA" w14:textId="65242758"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r>
      <w:tr w:rsidR="00650051" w:rsidRPr="005B7C9A" w14:paraId="3AD5EDA7" w14:textId="77777777" w:rsidTr="006D25BE">
        <w:trPr>
          <w:trHeight w:val="90"/>
        </w:trPr>
        <w:tc>
          <w:tcPr>
            <w:tcW w:w="1552" w:type="pct"/>
            <w:shd w:val="clear" w:color="auto" w:fill="FFFFFF"/>
            <w:vAlign w:val="center"/>
          </w:tcPr>
          <w:p w14:paraId="65782015" w14:textId="38C0AA0D" w:rsidR="00650051" w:rsidRPr="005921C0" w:rsidRDefault="00650051"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vAlign w:val="center"/>
          </w:tcPr>
          <w:p w14:paraId="4C73A889" w14:textId="49E84C7D" w:rsidR="00650051" w:rsidRPr="005921C0" w:rsidRDefault="00772DA3"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38" w:type="pct"/>
            <w:vAlign w:val="center"/>
          </w:tcPr>
          <w:p w14:paraId="0C15609F" w14:textId="1E0DA817" w:rsidR="00650051" w:rsidRPr="005921C0" w:rsidRDefault="009905D5"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2B2866DD" w14:textId="0CF63600"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7" w:type="pct"/>
            <w:vAlign w:val="center"/>
          </w:tcPr>
          <w:p w14:paraId="47FF017A" w14:textId="315C1FD0"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1" w:type="pct"/>
            <w:vAlign w:val="center"/>
          </w:tcPr>
          <w:p w14:paraId="1CE89351" w14:textId="363D4C00"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c>
          <w:tcPr>
            <w:tcW w:w="551" w:type="pct"/>
          </w:tcPr>
          <w:p w14:paraId="216856C8" w14:textId="37063D80" w:rsidR="00650051" w:rsidRPr="009905D5" w:rsidRDefault="009905D5" w:rsidP="00650051">
            <w:pPr>
              <w:spacing w:after="0"/>
              <w:jc w:val="center"/>
              <w:rPr>
                <w:rFonts w:cs="Times New Roman"/>
                <w:i/>
                <w:iCs/>
                <w:sz w:val="20"/>
                <w:szCs w:val="20"/>
                <w:lang w:val="ro-RO" w:eastAsia="ru-RU"/>
              </w:rPr>
            </w:pPr>
            <w:r w:rsidRPr="009905D5">
              <w:rPr>
                <w:rFonts w:cs="Times New Roman"/>
                <w:i/>
                <w:iCs/>
                <w:sz w:val="20"/>
                <w:szCs w:val="20"/>
                <w:lang w:val="ro-RO" w:eastAsia="ru-RU"/>
              </w:rPr>
              <w:t>0</w:t>
            </w:r>
          </w:p>
        </w:tc>
      </w:tr>
      <w:tr w:rsidR="006D25BE" w:rsidRPr="005B7C9A" w14:paraId="1DDE8DEB" w14:textId="151AF89B" w:rsidTr="007B5270">
        <w:trPr>
          <w:trHeight w:val="531"/>
        </w:trPr>
        <w:tc>
          <w:tcPr>
            <w:tcW w:w="1552" w:type="pct"/>
            <w:shd w:val="clear" w:color="auto" w:fill="00B0F0"/>
            <w:vAlign w:val="center"/>
          </w:tcPr>
          <w:p w14:paraId="3F306173" w14:textId="77BC77CD" w:rsidR="00657BDD" w:rsidRPr="005921C0" w:rsidRDefault="00657BDD" w:rsidP="00657BDD">
            <w:pPr>
              <w:spacing w:after="0"/>
              <w:jc w:val="both"/>
              <w:rPr>
                <w:rFonts w:cs="Times New Roman"/>
                <w:sz w:val="20"/>
                <w:szCs w:val="20"/>
                <w:lang w:val="ro-RO" w:eastAsia="ru-RU"/>
              </w:rPr>
            </w:pPr>
            <w:r w:rsidRPr="005921C0">
              <w:rPr>
                <w:rFonts w:cs="Times New Roman"/>
                <w:b/>
                <w:sz w:val="20"/>
                <w:szCs w:val="20"/>
                <w:lang w:val="ro-RO" w:eastAsia="ru-RU"/>
              </w:rPr>
              <w:t>1.3.</w:t>
            </w:r>
            <w:r w:rsidRPr="005921C0">
              <w:rPr>
                <w:rFonts w:cs="Times New Roman"/>
                <w:sz w:val="20"/>
                <w:szCs w:val="20"/>
                <w:lang w:val="ro-RO" w:eastAsia="ru-RU"/>
              </w:rPr>
              <w:t xml:space="preserve"> </w:t>
            </w:r>
            <w:r w:rsidRPr="005921C0">
              <w:rPr>
                <w:rFonts w:cs="Times New Roman"/>
                <w:bCs/>
                <w:sz w:val="20"/>
                <w:szCs w:val="20"/>
                <w:lang w:val="ro-RO" w:eastAsia="ru-RU"/>
              </w:rPr>
              <w:t>Conceptul de activitate polițienească comunitară extins în cazul a  100% din  sectoarele de poliție până în anul 2030</w:t>
            </w:r>
          </w:p>
        </w:tc>
        <w:tc>
          <w:tcPr>
            <w:tcW w:w="655" w:type="pct"/>
            <w:shd w:val="clear" w:color="auto" w:fill="00B0F0"/>
            <w:vAlign w:val="center"/>
          </w:tcPr>
          <w:p w14:paraId="3E174AE6" w14:textId="67DC16A3" w:rsidR="00657BDD" w:rsidRPr="005921C0" w:rsidRDefault="00C946A9" w:rsidP="00657BDD">
            <w:pPr>
              <w:spacing w:after="0"/>
              <w:jc w:val="center"/>
              <w:rPr>
                <w:rFonts w:cs="Times New Roman"/>
                <w:sz w:val="20"/>
                <w:szCs w:val="20"/>
                <w:lang w:val="ro-RO" w:eastAsia="ru-RU"/>
              </w:rPr>
            </w:pPr>
            <w:r w:rsidRPr="00C946A9">
              <w:rPr>
                <w:rFonts w:cs="Times New Roman"/>
                <w:bCs/>
                <w:sz w:val="20"/>
                <w:szCs w:val="20"/>
                <w:lang w:val="ro-RO"/>
              </w:rPr>
              <w:t>77</w:t>
            </w:r>
            <w:r w:rsidR="00657BDD" w:rsidRPr="00C946A9">
              <w:rPr>
                <w:rFonts w:cs="Times New Roman"/>
                <w:bCs/>
                <w:sz w:val="20"/>
                <w:szCs w:val="20"/>
              </w:rPr>
              <w:t>.</w:t>
            </w:r>
            <w:r w:rsidRPr="00C946A9">
              <w:rPr>
                <w:rFonts w:cs="Times New Roman"/>
                <w:bCs/>
                <w:sz w:val="20"/>
                <w:szCs w:val="20"/>
                <w:lang w:val="ro-RO"/>
              </w:rPr>
              <w:t>787</w:t>
            </w:r>
            <w:r w:rsidR="00BA4690" w:rsidRPr="00C946A9">
              <w:rPr>
                <w:rFonts w:cs="Times New Roman"/>
                <w:bCs/>
                <w:sz w:val="20"/>
                <w:szCs w:val="20"/>
                <w:lang w:val="ro-RO"/>
              </w:rPr>
              <w:t>,</w:t>
            </w:r>
            <w:r w:rsidRPr="00C946A9">
              <w:rPr>
                <w:rFonts w:cs="Times New Roman"/>
                <w:bCs/>
                <w:sz w:val="20"/>
                <w:szCs w:val="20"/>
                <w:lang w:val="ro-RO"/>
              </w:rPr>
              <w:t>3</w:t>
            </w:r>
          </w:p>
        </w:tc>
        <w:tc>
          <w:tcPr>
            <w:tcW w:w="538" w:type="pct"/>
            <w:shd w:val="clear" w:color="auto" w:fill="00B0F0"/>
            <w:vAlign w:val="center"/>
          </w:tcPr>
          <w:p w14:paraId="1EA13665" w14:textId="480AB82A" w:rsidR="00657BDD" w:rsidRPr="005921C0" w:rsidRDefault="00BA4690" w:rsidP="00657BDD">
            <w:pPr>
              <w:spacing w:after="0"/>
              <w:jc w:val="center"/>
              <w:rPr>
                <w:rFonts w:cs="Times New Roman"/>
                <w:sz w:val="20"/>
                <w:szCs w:val="20"/>
                <w:lang w:val="ro-RO" w:eastAsia="ru-RU"/>
              </w:rPr>
            </w:pPr>
            <w:r>
              <w:rPr>
                <w:rFonts w:cs="Times New Roman"/>
                <w:bCs/>
                <w:sz w:val="20"/>
                <w:szCs w:val="20"/>
                <w:lang w:val="ro-RO"/>
              </w:rPr>
              <w:t>33</w:t>
            </w:r>
            <w:r w:rsidR="00657BDD" w:rsidRPr="005921C0">
              <w:rPr>
                <w:rFonts w:cs="Times New Roman"/>
                <w:bCs/>
                <w:sz w:val="20"/>
                <w:szCs w:val="20"/>
              </w:rPr>
              <w:t>.7</w:t>
            </w:r>
            <w:r>
              <w:rPr>
                <w:rFonts w:cs="Times New Roman"/>
                <w:bCs/>
                <w:sz w:val="20"/>
                <w:szCs w:val="20"/>
                <w:lang w:val="ro-RO"/>
              </w:rPr>
              <w:t>4</w:t>
            </w:r>
            <w:r w:rsidR="00657BDD" w:rsidRPr="005921C0">
              <w:rPr>
                <w:rFonts w:cs="Times New Roman"/>
                <w:bCs/>
                <w:sz w:val="20"/>
                <w:szCs w:val="20"/>
              </w:rPr>
              <w:t>2,5</w:t>
            </w:r>
          </w:p>
        </w:tc>
        <w:tc>
          <w:tcPr>
            <w:tcW w:w="596" w:type="pct"/>
            <w:shd w:val="clear" w:color="auto" w:fill="00B0F0"/>
            <w:vAlign w:val="center"/>
          </w:tcPr>
          <w:p w14:paraId="29B07631" w14:textId="13AF26F9"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29.971,6</w:t>
            </w:r>
          </w:p>
        </w:tc>
        <w:tc>
          <w:tcPr>
            <w:tcW w:w="557" w:type="pct"/>
            <w:shd w:val="clear" w:color="auto" w:fill="00B0F0"/>
            <w:vAlign w:val="center"/>
          </w:tcPr>
          <w:p w14:paraId="71B303CC" w14:textId="07D91E8F"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4.168,9</w:t>
            </w:r>
          </w:p>
        </w:tc>
        <w:tc>
          <w:tcPr>
            <w:tcW w:w="551" w:type="pct"/>
            <w:shd w:val="clear" w:color="auto" w:fill="00B0F0"/>
            <w:vAlign w:val="center"/>
          </w:tcPr>
          <w:p w14:paraId="7BA5ACAE" w14:textId="6B9C59F5" w:rsidR="00657BDD" w:rsidRPr="00C946A9" w:rsidRDefault="00C946A9" w:rsidP="00657BDD">
            <w:pPr>
              <w:spacing w:after="0"/>
              <w:jc w:val="center"/>
              <w:rPr>
                <w:rFonts w:cs="Times New Roman"/>
                <w:sz w:val="20"/>
                <w:szCs w:val="20"/>
                <w:lang w:val="ro-RO" w:eastAsia="ru-RU"/>
              </w:rPr>
            </w:pPr>
            <w:r>
              <w:rPr>
                <w:rFonts w:cs="Times New Roman"/>
                <w:bCs/>
                <w:sz w:val="20"/>
                <w:szCs w:val="20"/>
                <w:lang w:val="ro-RO"/>
              </w:rPr>
              <w:t>6</w:t>
            </w:r>
            <w:r w:rsidR="00657BDD" w:rsidRPr="005921C0">
              <w:rPr>
                <w:rFonts w:cs="Times New Roman"/>
                <w:bCs/>
                <w:sz w:val="20"/>
                <w:szCs w:val="20"/>
              </w:rPr>
              <w:t>.</w:t>
            </w:r>
            <w:r>
              <w:rPr>
                <w:rFonts w:cs="Times New Roman"/>
                <w:bCs/>
                <w:sz w:val="20"/>
                <w:szCs w:val="20"/>
                <w:lang w:val="ro-RO"/>
              </w:rPr>
              <w:t>521</w:t>
            </w:r>
            <w:r w:rsidR="00657BDD" w:rsidRPr="005921C0">
              <w:rPr>
                <w:rFonts w:cs="Times New Roman"/>
                <w:bCs/>
                <w:sz w:val="20"/>
                <w:szCs w:val="20"/>
              </w:rPr>
              <w:t>,</w:t>
            </w:r>
            <w:r>
              <w:rPr>
                <w:rFonts w:cs="Times New Roman"/>
                <w:bCs/>
                <w:sz w:val="20"/>
                <w:szCs w:val="20"/>
                <w:lang w:val="ro-RO"/>
              </w:rPr>
              <w:t>8</w:t>
            </w:r>
          </w:p>
        </w:tc>
        <w:tc>
          <w:tcPr>
            <w:tcW w:w="551" w:type="pct"/>
            <w:shd w:val="clear" w:color="auto" w:fill="00B0F0"/>
            <w:vAlign w:val="center"/>
          </w:tcPr>
          <w:p w14:paraId="46C00B7B" w14:textId="627B1128"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3.382,5</w:t>
            </w:r>
          </w:p>
        </w:tc>
      </w:tr>
      <w:tr w:rsidR="00650051" w:rsidRPr="005B7C9A" w14:paraId="55909388" w14:textId="508537DD" w:rsidTr="006D25BE">
        <w:trPr>
          <w:trHeight w:val="53"/>
        </w:trPr>
        <w:tc>
          <w:tcPr>
            <w:tcW w:w="1552" w:type="pct"/>
            <w:shd w:val="clear" w:color="auto" w:fill="FFFFFF"/>
            <w:vAlign w:val="center"/>
          </w:tcPr>
          <w:p w14:paraId="7DF729D6" w14:textId="3CE2A00E"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0E0D0329" w14:textId="3C65246E" w:rsidR="00650051" w:rsidRPr="005921C0" w:rsidRDefault="00C946A9" w:rsidP="00650051">
            <w:pPr>
              <w:spacing w:after="0"/>
              <w:jc w:val="center"/>
              <w:rPr>
                <w:rFonts w:cs="Times New Roman"/>
                <w:i/>
                <w:iCs/>
                <w:sz w:val="20"/>
                <w:szCs w:val="20"/>
                <w:lang w:val="ro-RO" w:eastAsia="ru-RU"/>
              </w:rPr>
            </w:pPr>
            <w:r>
              <w:rPr>
                <w:rFonts w:cs="Times New Roman"/>
                <w:i/>
                <w:iCs/>
                <w:sz w:val="20"/>
                <w:szCs w:val="20"/>
                <w:lang w:val="ro-RO" w:eastAsia="ru-RU"/>
              </w:rPr>
              <w:t>17.285</w:t>
            </w:r>
            <w:r w:rsidR="00BA4690">
              <w:rPr>
                <w:rFonts w:cs="Times New Roman"/>
                <w:i/>
                <w:iCs/>
                <w:sz w:val="20"/>
                <w:szCs w:val="20"/>
                <w:lang w:val="ro-RO" w:eastAsia="ru-RU"/>
              </w:rPr>
              <w:t>,</w:t>
            </w:r>
            <w:r>
              <w:rPr>
                <w:rFonts w:cs="Times New Roman"/>
                <w:i/>
                <w:iCs/>
                <w:sz w:val="20"/>
                <w:szCs w:val="20"/>
                <w:lang w:val="ro-RO" w:eastAsia="ru-RU"/>
              </w:rPr>
              <w:t>7</w:t>
            </w:r>
          </w:p>
        </w:tc>
        <w:tc>
          <w:tcPr>
            <w:tcW w:w="538" w:type="pct"/>
            <w:vAlign w:val="center"/>
          </w:tcPr>
          <w:p w14:paraId="243EFEA8" w14:textId="77B618DA"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5.340,0</w:t>
            </w:r>
          </w:p>
        </w:tc>
        <w:tc>
          <w:tcPr>
            <w:tcW w:w="596" w:type="pct"/>
            <w:vAlign w:val="center"/>
          </w:tcPr>
          <w:p w14:paraId="1FBC46CE" w14:textId="2E0C492B"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489,1</w:t>
            </w:r>
          </w:p>
        </w:tc>
        <w:tc>
          <w:tcPr>
            <w:tcW w:w="557" w:type="pct"/>
            <w:vAlign w:val="center"/>
          </w:tcPr>
          <w:p w14:paraId="14F50329" w14:textId="16104A21"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3.206,4</w:t>
            </w:r>
          </w:p>
        </w:tc>
        <w:tc>
          <w:tcPr>
            <w:tcW w:w="551" w:type="pct"/>
            <w:vAlign w:val="center"/>
          </w:tcPr>
          <w:p w14:paraId="168709D3" w14:textId="13DCED4A" w:rsidR="00650051" w:rsidRPr="005921C0" w:rsidRDefault="00C946A9" w:rsidP="00650051">
            <w:pPr>
              <w:spacing w:after="0"/>
              <w:jc w:val="center"/>
              <w:rPr>
                <w:rFonts w:cs="Times New Roman"/>
                <w:i/>
                <w:iCs/>
                <w:sz w:val="20"/>
                <w:szCs w:val="20"/>
                <w:lang w:val="ro-RO" w:eastAsia="ru-RU"/>
              </w:rPr>
            </w:pPr>
            <w:r>
              <w:rPr>
                <w:rFonts w:cs="Times New Roman"/>
                <w:i/>
                <w:iCs/>
                <w:sz w:val="20"/>
                <w:szCs w:val="20"/>
                <w:lang w:val="ro-RO" w:eastAsia="ru-RU"/>
              </w:rPr>
              <w:t>5</w:t>
            </w:r>
            <w:r w:rsidR="00B15BEA">
              <w:rPr>
                <w:rFonts w:cs="Times New Roman"/>
                <w:i/>
                <w:iCs/>
                <w:sz w:val="20"/>
                <w:szCs w:val="20"/>
                <w:lang w:val="ro-RO" w:eastAsia="ru-RU"/>
              </w:rPr>
              <w:t>.</w:t>
            </w:r>
            <w:r>
              <w:rPr>
                <w:rFonts w:cs="Times New Roman"/>
                <w:i/>
                <w:iCs/>
                <w:sz w:val="20"/>
                <w:szCs w:val="20"/>
                <w:lang w:val="ro-RO" w:eastAsia="ru-RU"/>
              </w:rPr>
              <w:t>430</w:t>
            </w:r>
            <w:r w:rsidR="00B15BEA">
              <w:rPr>
                <w:rFonts w:cs="Times New Roman"/>
                <w:i/>
                <w:iCs/>
                <w:sz w:val="20"/>
                <w:szCs w:val="20"/>
                <w:lang w:val="ro-RO" w:eastAsia="ru-RU"/>
              </w:rPr>
              <w:t>,</w:t>
            </w:r>
            <w:r>
              <w:rPr>
                <w:rFonts w:cs="Times New Roman"/>
                <w:i/>
                <w:iCs/>
                <w:sz w:val="20"/>
                <w:szCs w:val="20"/>
                <w:lang w:val="ro-RO" w:eastAsia="ru-RU"/>
              </w:rPr>
              <w:t>2</w:t>
            </w:r>
          </w:p>
        </w:tc>
        <w:tc>
          <w:tcPr>
            <w:tcW w:w="551" w:type="pct"/>
          </w:tcPr>
          <w:p w14:paraId="21BCEC62" w14:textId="51FF0362"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2.820,0</w:t>
            </w:r>
          </w:p>
        </w:tc>
      </w:tr>
      <w:tr w:rsidR="00650051" w:rsidRPr="005B7C9A" w14:paraId="32489F91" w14:textId="67C52FEF" w:rsidTr="006D25BE">
        <w:trPr>
          <w:trHeight w:val="111"/>
        </w:trPr>
        <w:tc>
          <w:tcPr>
            <w:tcW w:w="1552" w:type="pct"/>
            <w:shd w:val="clear" w:color="auto" w:fill="FFFFFF"/>
            <w:vAlign w:val="center"/>
          </w:tcPr>
          <w:p w14:paraId="2678A4DF" w14:textId="2443CF29"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7D59B807" w14:textId="7483AA91" w:rsidR="00650051" w:rsidRPr="005921C0" w:rsidRDefault="00C946A9" w:rsidP="00650051">
            <w:pPr>
              <w:spacing w:after="0"/>
              <w:jc w:val="center"/>
              <w:rPr>
                <w:rFonts w:cs="Times New Roman"/>
                <w:i/>
                <w:iCs/>
                <w:sz w:val="20"/>
                <w:szCs w:val="20"/>
                <w:lang w:val="ro-RO" w:eastAsia="ru-RU"/>
              </w:rPr>
            </w:pPr>
            <w:r>
              <w:rPr>
                <w:rFonts w:cs="Times New Roman"/>
                <w:i/>
                <w:iCs/>
                <w:sz w:val="20"/>
                <w:szCs w:val="20"/>
                <w:lang w:val="ro-RO" w:eastAsia="ru-RU"/>
              </w:rPr>
              <w:t>59</w:t>
            </w:r>
            <w:r w:rsidR="00311244">
              <w:rPr>
                <w:rFonts w:cs="Times New Roman"/>
                <w:i/>
                <w:iCs/>
                <w:sz w:val="20"/>
                <w:szCs w:val="20"/>
                <w:lang w:val="ro-RO" w:eastAsia="ru-RU"/>
              </w:rPr>
              <w:t>.</w:t>
            </w:r>
            <w:r>
              <w:rPr>
                <w:rFonts w:cs="Times New Roman"/>
                <w:i/>
                <w:iCs/>
                <w:sz w:val="20"/>
                <w:szCs w:val="20"/>
                <w:lang w:val="ro-RO" w:eastAsia="ru-RU"/>
              </w:rPr>
              <w:t>152</w:t>
            </w:r>
            <w:r w:rsidR="00311244">
              <w:rPr>
                <w:rFonts w:cs="Times New Roman"/>
                <w:i/>
                <w:iCs/>
                <w:sz w:val="20"/>
                <w:szCs w:val="20"/>
                <w:lang w:val="ro-RO" w:eastAsia="ru-RU"/>
              </w:rPr>
              <w:t>,</w:t>
            </w:r>
            <w:r>
              <w:rPr>
                <w:rFonts w:cs="Times New Roman"/>
                <w:i/>
                <w:iCs/>
                <w:sz w:val="20"/>
                <w:szCs w:val="20"/>
                <w:lang w:val="ro-RO" w:eastAsia="ru-RU"/>
              </w:rPr>
              <w:t>5</w:t>
            </w:r>
          </w:p>
        </w:tc>
        <w:tc>
          <w:tcPr>
            <w:tcW w:w="538" w:type="pct"/>
            <w:vAlign w:val="center"/>
          </w:tcPr>
          <w:p w14:paraId="75F5ED82" w14:textId="481FDC74"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28.282,5</w:t>
            </w:r>
          </w:p>
        </w:tc>
        <w:tc>
          <w:tcPr>
            <w:tcW w:w="596" w:type="pct"/>
            <w:vAlign w:val="center"/>
          </w:tcPr>
          <w:p w14:paraId="76A595ED" w14:textId="12739661"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28.482,5</w:t>
            </w:r>
          </w:p>
        </w:tc>
        <w:tc>
          <w:tcPr>
            <w:tcW w:w="557" w:type="pct"/>
            <w:vAlign w:val="center"/>
          </w:tcPr>
          <w:p w14:paraId="49758F1F" w14:textId="4423B948"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962,5</w:t>
            </w:r>
          </w:p>
        </w:tc>
        <w:tc>
          <w:tcPr>
            <w:tcW w:w="551" w:type="pct"/>
            <w:vAlign w:val="center"/>
          </w:tcPr>
          <w:p w14:paraId="3E007300" w14:textId="16C6DB1D" w:rsidR="00650051" w:rsidRPr="005921C0" w:rsidRDefault="00B15BEA" w:rsidP="00650051">
            <w:pPr>
              <w:spacing w:after="0"/>
              <w:jc w:val="center"/>
              <w:rPr>
                <w:rFonts w:cs="Times New Roman"/>
                <w:i/>
                <w:iCs/>
                <w:sz w:val="20"/>
                <w:szCs w:val="20"/>
                <w:lang w:val="ro-RO" w:eastAsia="ru-RU"/>
              </w:rPr>
            </w:pPr>
            <w:r>
              <w:rPr>
                <w:rFonts w:cs="Times New Roman"/>
                <w:i/>
                <w:iCs/>
                <w:sz w:val="20"/>
                <w:szCs w:val="20"/>
                <w:lang w:val="ro-RO" w:eastAsia="ru-RU"/>
              </w:rPr>
              <w:t>862,5</w:t>
            </w:r>
          </w:p>
        </w:tc>
        <w:tc>
          <w:tcPr>
            <w:tcW w:w="551" w:type="pct"/>
          </w:tcPr>
          <w:p w14:paraId="12CCD6D8" w14:textId="6FEA6C0A" w:rsidR="00650051" w:rsidRPr="005921C0" w:rsidRDefault="00D00FFA" w:rsidP="00650051">
            <w:pPr>
              <w:spacing w:after="0"/>
              <w:jc w:val="center"/>
              <w:rPr>
                <w:rFonts w:cs="Times New Roman"/>
                <w:i/>
                <w:iCs/>
                <w:sz w:val="20"/>
                <w:szCs w:val="20"/>
                <w:lang w:val="ro-RO" w:eastAsia="ru-RU"/>
              </w:rPr>
            </w:pPr>
            <w:r>
              <w:rPr>
                <w:rFonts w:cs="Times New Roman"/>
                <w:i/>
                <w:iCs/>
                <w:sz w:val="20"/>
                <w:szCs w:val="20"/>
                <w:lang w:val="ro-RO" w:eastAsia="ru-RU"/>
              </w:rPr>
              <w:t>562,5</w:t>
            </w:r>
          </w:p>
        </w:tc>
      </w:tr>
      <w:tr w:rsidR="00650051" w:rsidRPr="005B7C9A" w14:paraId="552B0404" w14:textId="77777777" w:rsidTr="006D25BE">
        <w:trPr>
          <w:trHeight w:val="111"/>
        </w:trPr>
        <w:tc>
          <w:tcPr>
            <w:tcW w:w="1552" w:type="pct"/>
            <w:shd w:val="clear" w:color="auto" w:fill="FFFFFF"/>
            <w:vAlign w:val="center"/>
          </w:tcPr>
          <w:p w14:paraId="57492E11" w14:textId="586F28F7" w:rsidR="00650051" w:rsidRPr="005921C0" w:rsidRDefault="00650051"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vAlign w:val="center"/>
          </w:tcPr>
          <w:p w14:paraId="2D791BB7" w14:textId="64C12F28"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1.349,1</w:t>
            </w:r>
          </w:p>
        </w:tc>
        <w:tc>
          <w:tcPr>
            <w:tcW w:w="538" w:type="pct"/>
            <w:vAlign w:val="center"/>
          </w:tcPr>
          <w:p w14:paraId="1A2917A5" w14:textId="2189ABB1" w:rsidR="00650051" w:rsidRPr="005921C0" w:rsidRDefault="00D00FFA" w:rsidP="00650051">
            <w:pPr>
              <w:spacing w:after="0"/>
              <w:jc w:val="center"/>
              <w:rPr>
                <w:rFonts w:cs="Times New Roman"/>
                <w:i/>
                <w:iCs/>
                <w:sz w:val="20"/>
                <w:szCs w:val="20"/>
                <w:lang w:val="ro-RO" w:eastAsia="ru-RU"/>
              </w:rPr>
            </w:pPr>
            <w:r>
              <w:rPr>
                <w:rFonts w:cs="Times New Roman"/>
                <w:i/>
                <w:iCs/>
                <w:sz w:val="20"/>
                <w:szCs w:val="20"/>
                <w:lang w:val="ro-RO" w:eastAsia="ru-RU"/>
              </w:rPr>
              <w:t>120,0</w:t>
            </w:r>
          </w:p>
        </w:tc>
        <w:tc>
          <w:tcPr>
            <w:tcW w:w="596" w:type="pct"/>
            <w:vAlign w:val="center"/>
          </w:tcPr>
          <w:p w14:paraId="357CD874" w14:textId="0DE32D8C" w:rsidR="00650051" w:rsidRPr="005921C0" w:rsidRDefault="00D00FFA" w:rsidP="00650051">
            <w:pPr>
              <w:spacing w:after="0"/>
              <w:jc w:val="center"/>
              <w:rPr>
                <w:rFonts w:cs="Times New Roman"/>
                <w:i/>
                <w:iCs/>
                <w:sz w:val="20"/>
                <w:szCs w:val="20"/>
                <w:lang w:val="ro-RO" w:eastAsia="ru-RU"/>
              </w:rPr>
            </w:pPr>
            <w:r>
              <w:rPr>
                <w:rFonts w:cs="Times New Roman"/>
                <w:i/>
                <w:iCs/>
                <w:sz w:val="20"/>
                <w:szCs w:val="20"/>
                <w:lang w:val="ro-RO" w:eastAsia="ru-RU"/>
              </w:rPr>
              <w:t>1.000,0</w:t>
            </w:r>
          </w:p>
        </w:tc>
        <w:tc>
          <w:tcPr>
            <w:tcW w:w="557" w:type="pct"/>
            <w:vAlign w:val="center"/>
          </w:tcPr>
          <w:p w14:paraId="1188A6DF" w14:textId="5F570C34" w:rsidR="00650051" w:rsidRPr="005921C0" w:rsidRDefault="00D00FF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42766C7D" w14:textId="3EBBE48A" w:rsidR="00650051" w:rsidRPr="005921C0" w:rsidRDefault="00D00FFA" w:rsidP="00650051">
            <w:pPr>
              <w:spacing w:after="0"/>
              <w:jc w:val="center"/>
              <w:rPr>
                <w:rFonts w:cs="Times New Roman"/>
                <w:i/>
                <w:iCs/>
                <w:sz w:val="20"/>
                <w:szCs w:val="20"/>
                <w:lang w:val="ro-RO" w:eastAsia="ru-RU"/>
              </w:rPr>
            </w:pPr>
            <w:r>
              <w:rPr>
                <w:rFonts w:cs="Times New Roman"/>
                <w:i/>
                <w:iCs/>
                <w:sz w:val="20"/>
                <w:szCs w:val="20"/>
                <w:lang w:val="ro-RO" w:eastAsia="ru-RU"/>
              </w:rPr>
              <w:t>229,1</w:t>
            </w:r>
          </w:p>
        </w:tc>
        <w:tc>
          <w:tcPr>
            <w:tcW w:w="551" w:type="pct"/>
          </w:tcPr>
          <w:p w14:paraId="542CC915" w14:textId="493B69AF" w:rsidR="00650051" w:rsidRPr="005921C0" w:rsidRDefault="00D00FFA"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D25BE" w:rsidRPr="005B7C9A" w14:paraId="1E8A1022" w14:textId="575AC8FA" w:rsidTr="007B5270">
        <w:trPr>
          <w:trHeight w:val="441"/>
        </w:trPr>
        <w:tc>
          <w:tcPr>
            <w:tcW w:w="1552" w:type="pct"/>
            <w:shd w:val="clear" w:color="auto" w:fill="00B0F0"/>
            <w:vAlign w:val="center"/>
          </w:tcPr>
          <w:p w14:paraId="271E4BFA" w14:textId="5A033D92" w:rsidR="00657BDD" w:rsidRPr="005921C0" w:rsidRDefault="00657BDD" w:rsidP="00657BDD">
            <w:pPr>
              <w:tabs>
                <w:tab w:val="left" w:pos="452"/>
              </w:tabs>
              <w:spacing w:after="0"/>
              <w:jc w:val="both"/>
              <w:rPr>
                <w:rFonts w:cs="Times New Roman"/>
                <w:sz w:val="20"/>
                <w:szCs w:val="20"/>
                <w:lang w:val="ro-RO" w:eastAsia="ru-RU"/>
              </w:rPr>
            </w:pPr>
            <w:r w:rsidRPr="005921C0">
              <w:rPr>
                <w:rFonts w:cs="Times New Roman"/>
                <w:b/>
                <w:sz w:val="20"/>
                <w:szCs w:val="20"/>
                <w:lang w:val="ro-RO" w:eastAsia="ru-RU"/>
              </w:rPr>
              <w:t>1.4.</w:t>
            </w:r>
            <w:r w:rsidRPr="005921C0">
              <w:rPr>
                <w:rFonts w:cs="Times New Roman"/>
                <w:sz w:val="20"/>
                <w:szCs w:val="20"/>
                <w:lang w:val="ro-RO" w:eastAsia="ru-RU"/>
              </w:rPr>
              <w:t xml:space="preserve"> </w:t>
            </w:r>
            <w:r w:rsidRPr="005921C0">
              <w:rPr>
                <w:rFonts w:cs="Times New Roman"/>
                <w:bCs/>
                <w:sz w:val="20"/>
                <w:szCs w:val="20"/>
                <w:lang w:val="ro-RO" w:eastAsia="ru-RU"/>
              </w:rPr>
              <w:t>Capacitatea îmbunătățită de reacționare rapidă a serviciilor de ordine și securitate publică până în anul 2030</w:t>
            </w:r>
          </w:p>
        </w:tc>
        <w:tc>
          <w:tcPr>
            <w:tcW w:w="655" w:type="pct"/>
            <w:shd w:val="clear" w:color="auto" w:fill="00B0F0"/>
            <w:vAlign w:val="center"/>
          </w:tcPr>
          <w:p w14:paraId="5055888A" w14:textId="76751EDC" w:rsidR="00657BDD" w:rsidRPr="00105C6E" w:rsidRDefault="00657BDD" w:rsidP="00657BDD">
            <w:pPr>
              <w:spacing w:after="0"/>
              <w:jc w:val="center"/>
              <w:rPr>
                <w:rFonts w:cs="Times New Roman"/>
                <w:sz w:val="20"/>
                <w:szCs w:val="20"/>
                <w:lang w:val="ro-RO" w:eastAsia="ru-RU"/>
              </w:rPr>
            </w:pPr>
            <w:r w:rsidRPr="005921C0">
              <w:rPr>
                <w:rFonts w:cs="Times New Roman"/>
                <w:bCs/>
                <w:sz w:val="20"/>
                <w:szCs w:val="20"/>
              </w:rPr>
              <w:t>157.</w:t>
            </w:r>
            <w:r w:rsidR="00105C6E">
              <w:rPr>
                <w:rFonts w:cs="Times New Roman"/>
                <w:bCs/>
                <w:sz w:val="20"/>
                <w:szCs w:val="20"/>
                <w:lang w:val="ro-RO"/>
              </w:rPr>
              <w:t>676</w:t>
            </w:r>
            <w:r w:rsidRPr="005921C0">
              <w:rPr>
                <w:rFonts w:cs="Times New Roman"/>
                <w:bCs/>
                <w:sz w:val="20"/>
                <w:szCs w:val="20"/>
              </w:rPr>
              <w:t>,</w:t>
            </w:r>
            <w:r w:rsidR="00105C6E">
              <w:rPr>
                <w:rFonts w:cs="Times New Roman"/>
                <w:bCs/>
                <w:sz w:val="20"/>
                <w:szCs w:val="20"/>
                <w:lang w:val="ro-RO"/>
              </w:rPr>
              <w:t>4</w:t>
            </w:r>
          </w:p>
        </w:tc>
        <w:tc>
          <w:tcPr>
            <w:tcW w:w="538" w:type="pct"/>
            <w:shd w:val="clear" w:color="auto" w:fill="00B0F0"/>
            <w:vAlign w:val="center"/>
          </w:tcPr>
          <w:p w14:paraId="7C640459" w14:textId="4D0823AF" w:rsidR="00657BDD" w:rsidRPr="00105C6E" w:rsidRDefault="00657BDD" w:rsidP="00657BDD">
            <w:pPr>
              <w:spacing w:after="0"/>
              <w:jc w:val="center"/>
              <w:rPr>
                <w:rFonts w:cs="Times New Roman"/>
                <w:sz w:val="20"/>
                <w:szCs w:val="20"/>
                <w:lang w:val="ro-RO" w:eastAsia="ru-RU"/>
              </w:rPr>
            </w:pPr>
            <w:r w:rsidRPr="005921C0">
              <w:rPr>
                <w:rFonts w:cs="Times New Roman"/>
                <w:bCs/>
                <w:sz w:val="20"/>
                <w:szCs w:val="20"/>
              </w:rPr>
              <w:t>1.</w:t>
            </w:r>
            <w:r w:rsidR="00105C6E">
              <w:rPr>
                <w:rFonts w:cs="Times New Roman"/>
                <w:bCs/>
                <w:sz w:val="20"/>
                <w:szCs w:val="20"/>
                <w:lang w:val="ro-RO"/>
              </w:rPr>
              <w:t>210</w:t>
            </w:r>
            <w:r w:rsidRPr="005921C0">
              <w:rPr>
                <w:rFonts w:cs="Times New Roman"/>
                <w:bCs/>
                <w:sz w:val="20"/>
                <w:szCs w:val="20"/>
              </w:rPr>
              <w:t>,</w:t>
            </w:r>
            <w:r w:rsidR="00105C6E">
              <w:rPr>
                <w:rFonts w:cs="Times New Roman"/>
                <w:bCs/>
                <w:sz w:val="20"/>
                <w:szCs w:val="20"/>
                <w:lang w:val="ro-RO"/>
              </w:rPr>
              <w:t>5</w:t>
            </w:r>
          </w:p>
        </w:tc>
        <w:tc>
          <w:tcPr>
            <w:tcW w:w="596" w:type="pct"/>
            <w:shd w:val="clear" w:color="auto" w:fill="00B0F0"/>
            <w:vAlign w:val="center"/>
          </w:tcPr>
          <w:p w14:paraId="2407D1F4" w14:textId="6CD8497F" w:rsidR="00657BDD" w:rsidRPr="00105C6E" w:rsidRDefault="00105C6E" w:rsidP="00657BDD">
            <w:pPr>
              <w:spacing w:after="0"/>
              <w:jc w:val="center"/>
              <w:rPr>
                <w:rFonts w:cs="Times New Roman"/>
                <w:sz w:val="20"/>
                <w:szCs w:val="20"/>
                <w:lang w:val="ro-RO" w:eastAsia="ru-RU"/>
              </w:rPr>
            </w:pPr>
            <w:r>
              <w:rPr>
                <w:rFonts w:cs="Times New Roman"/>
                <w:bCs/>
                <w:sz w:val="20"/>
                <w:szCs w:val="20"/>
                <w:lang w:val="ro-RO"/>
              </w:rPr>
              <w:t>955</w:t>
            </w:r>
            <w:r w:rsidR="00657BDD" w:rsidRPr="005921C0">
              <w:rPr>
                <w:rFonts w:cs="Times New Roman"/>
                <w:bCs/>
                <w:sz w:val="20"/>
                <w:szCs w:val="20"/>
              </w:rPr>
              <w:t>,</w:t>
            </w:r>
            <w:r>
              <w:rPr>
                <w:rFonts w:cs="Times New Roman"/>
                <w:bCs/>
                <w:sz w:val="20"/>
                <w:szCs w:val="20"/>
                <w:lang w:val="ro-RO"/>
              </w:rPr>
              <w:t>3</w:t>
            </w:r>
          </w:p>
        </w:tc>
        <w:tc>
          <w:tcPr>
            <w:tcW w:w="557" w:type="pct"/>
            <w:shd w:val="clear" w:color="auto" w:fill="00B0F0"/>
            <w:vAlign w:val="center"/>
          </w:tcPr>
          <w:p w14:paraId="5B0E4EC9" w14:textId="451CA9C5" w:rsidR="00657BDD" w:rsidRPr="00105C6E" w:rsidRDefault="00657BDD" w:rsidP="00657BDD">
            <w:pPr>
              <w:spacing w:after="0"/>
              <w:jc w:val="center"/>
              <w:rPr>
                <w:rFonts w:cs="Times New Roman"/>
                <w:sz w:val="20"/>
                <w:szCs w:val="20"/>
                <w:lang w:val="ro-RO" w:eastAsia="ru-RU"/>
              </w:rPr>
            </w:pPr>
            <w:r w:rsidRPr="005921C0">
              <w:rPr>
                <w:rFonts w:cs="Times New Roman"/>
                <w:bCs/>
                <w:sz w:val="20"/>
                <w:szCs w:val="20"/>
              </w:rPr>
              <w:t>79.</w:t>
            </w:r>
            <w:r w:rsidR="00105C6E">
              <w:rPr>
                <w:rFonts w:cs="Times New Roman"/>
                <w:bCs/>
                <w:sz w:val="20"/>
                <w:szCs w:val="20"/>
                <w:lang w:val="ro-RO"/>
              </w:rPr>
              <w:t>329</w:t>
            </w:r>
            <w:r w:rsidRPr="005921C0">
              <w:rPr>
                <w:rFonts w:cs="Times New Roman"/>
                <w:bCs/>
                <w:sz w:val="20"/>
                <w:szCs w:val="20"/>
              </w:rPr>
              <w:t>,</w:t>
            </w:r>
            <w:r w:rsidR="00105C6E">
              <w:rPr>
                <w:rFonts w:cs="Times New Roman"/>
                <w:bCs/>
                <w:sz w:val="20"/>
                <w:szCs w:val="20"/>
                <w:lang w:val="ro-RO"/>
              </w:rPr>
              <w:t>8</w:t>
            </w:r>
          </w:p>
        </w:tc>
        <w:tc>
          <w:tcPr>
            <w:tcW w:w="551" w:type="pct"/>
            <w:shd w:val="clear" w:color="auto" w:fill="00B0F0"/>
            <w:vAlign w:val="center"/>
          </w:tcPr>
          <w:p w14:paraId="4EF16A5B" w14:textId="0C6A8A08"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76.041,0</w:t>
            </w:r>
          </w:p>
        </w:tc>
        <w:tc>
          <w:tcPr>
            <w:tcW w:w="551" w:type="pct"/>
            <w:shd w:val="clear" w:color="auto" w:fill="00B0F0"/>
            <w:vAlign w:val="center"/>
          </w:tcPr>
          <w:p w14:paraId="50DCF49D" w14:textId="6E3E0ED3"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140,0</w:t>
            </w:r>
          </w:p>
        </w:tc>
      </w:tr>
      <w:tr w:rsidR="00650051" w:rsidRPr="005B7C9A" w14:paraId="30990CFE" w14:textId="47A1040D" w:rsidTr="006D25BE">
        <w:trPr>
          <w:trHeight w:val="53"/>
        </w:trPr>
        <w:tc>
          <w:tcPr>
            <w:tcW w:w="1552" w:type="pct"/>
            <w:shd w:val="clear" w:color="auto" w:fill="FFFFFF"/>
            <w:vAlign w:val="center"/>
          </w:tcPr>
          <w:p w14:paraId="3199B17C" w14:textId="2F9C773B"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703AA04F" w14:textId="4F19D780"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154.776,4</w:t>
            </w:r>
          </w:p>
        </w:tc>
        <w:tc>
          <w:tcPr>
            <w:tcW w:w="538" w:type="pct"/>
            <w:vAlign w:val="center"/>
          </w:tcPr>
          <w:p w14:paraId="1424F4BB" w14:textId="25BBB6F9"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1.210,5</w:t>
            </w:r>
          </w:p>
        </w:tc>
        <w:tc>
          <w:tcPr>
            <w:tcW w:w="596" w:type="pct"/>
            <w:vAlign w:val="center"/>
          </w:tcPr>
          <w:p w14:paraId="68CD717D" w14:textId="4BEEF33B"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955,3</w:t>
            </w:r>
          </w:p>
        </w:tc>
        <w:tc>
          <w:tcPr>
            <w:tcW w:w="557" w:type="pct"/>
            <w:vAlign w:val="center"/>
          </w:tcPr>
          <w:p w14:paraId="2C87B429" w14:textId="282B38F8"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76.429,6</w:t>
            </w:r>
          </w:p>
        </w:tc>
        <w:tc>
          <w:tcPr>
            <w:tcW w:w="551" w:type="pct"/>
            <w:vAlign w:val="center"/>
          </w:tcPr>
          <w:p w14:paraId="6D174403" w14:textId="79EB9416"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76.041,0</w:t>
            </w:r>
          </w:p>
        </w:tc>
        <w:tc>
          <w:tcPr>
            <w:tcW w:w="551" w:type="pct"/>
          </w:tcPr>
          <w:p w14:paraId="07253879" w14:textId="1D9401FF"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140,0</w:t>
            </w:r>
          </w:p>
        </w:tc>
      </w:tr>
      <w:tr w:rsidR="00650051" w:rsidRPr="005B7C9A" w14:paraId="5F588F85" w14:textId="77777777" w:rsidTr="006D25BE">
        <w:trPr>
          <w:trHeight w:val="53"/>
        </w:trPr>
        <w:tc>
          <w:tcPr>
            <w:tcW w:w="1552" w:type="pct"/>
            <w:shd w:val="clear" w:color="auto" w:fill="FFFFFF"/>
            <w:vAlign w:val="center"/>
          </w:tcPr>
          <w:p w14:paraId="15CEB404" w14:textId="2096CD68"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35DCB893" w14:textId="71F3CFF2"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38" w:type="pct"/>
            <w:vAlign w:val="center"/>
          </w:tcPr>
          <w:p w14:paraId="6FA19EF0" w14:textId="25595ED8"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265B5E97" w14:textId="0DE7BD4D"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1A489502" w14:textId="0E55F151"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6D893282" w14:textId="121768B3"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43639BB0" w14:textId="7527B416"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50051" w:rsidRPr="005B7C9A" w14:paraId="5B20FAB0" w14:textId="77777777" w:rsidTr="006D25BE">
        <w:trPr>
          <w:trHeight w:val="53"/>
        </w:trPr>
        <w:tc>
          <w:tcPr>
            <w:tcW w:w="1552" w:type="pct"/>
            <w:shd w:val="clear" w:color="auto" w:fill="FFFFFF"/>
            <w:vAlign w:val="center"/>
          </w:tcPr>
          <w:p w14:paraId="4EF87B61" w14:textId="5452C062" w:rsidR="00650051" w:rsidRPr="005921C0" w:rsidRDefault="00650051"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vAlign w:val="center"/>
          </w:tcPr>
          <w:p w14:paraId="2DA228A2" w14:textId="3C5A8145"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2.900,2</w:t>
            </w:r>
          </w:p>
        </w:tc>
        <w:tc>
          <w:tcPr>
            <w:tcW w:w="538" w:type="pct"/>
            <w:vAlign w:val="center"/>
          </w:tcPr>
          <w:p w14:paraId="40FD9403" w14:textId="70985034"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5B2403AA" w14:textId="1E49BD16"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0FAD8307" w14:textId="003250FB"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2.900,2</w:t>
            </w:r>
          </w:p>
        </w:tc>
        <w:tc>
          <w:tcPr>
            <w:tcW w:w="551" w:type="pct"/>
            <w:vAlign w:val="center"/>
          </w:tcPr>
          <w:p w14:paraId="0E885719" w14:textId="27185E51"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1F820C5C" w14:textId="6CE7013F" w:rsidR="00650051" w:rsidRPr="005921C0" w:rsidRDefault="002F4A30"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D25BE" w:rsidRPr="005B7C9A" w14:paraId="64E70228" w14:textId="39F433F4" w:rsidTr="007B5270">
        <w:trPr>
          <w:trHeight w:val="53"/>
        </w:trPr>
        <w:tc>
          <w:tcPr>
            <w:tcW w:w="1552" w:type="pct"/>
            <w:shd w:val="clear" w:color="auto" w:fill="00B0F0"/>
            <w:vAlign w:val="center"/>
          </w:tcPr>
          <w:p w14:paraId="7A94474F" w14:textId="2F1967E3" w:rsidR="00657BDD" w:rsidRPr="005921C0" w:rsidRDefault="00657BDD" w:rsidP="00657BDD">
            <w:pPr>
              <w:spacing w:after="0"/>
              <w:jc w:val="both"/>
              <w:rPr>
                <w:rFonts w:cs="Times New Roman"/>
                <w:sz w:val="20"/>
                <w:szCs w:val="20"/>
                <w:lang w:val="ro-RO" w:eastAsia="ru-RU"/>
              </w:rPr>
            </w:pPr>
            <w:r w:rsidRPr="005921C0">
              <w:rPr>
                <w:rFonts w:cs="Times New Roman"/>
                <w:b/>
                <w:sz w:val="20"/>
                <w:szCs w:val="20"/>
                <w:lang w:val="ro-RO" w:eastAsia="ru-RU"/>
              </w:rPr>
              <w:t>1.5.</w:t>
            </w:r>
            <w:r w:rsidRPr="005921C0">
              <w:rPr>
                <w:rFonts w:cs="Times New Roman"/>
                <w:sz w:val="20"/>
                <w:szCs w:val="20"/>
                <w:lang w:val="ro-RO" w:eastAsia="ru-RU"/>
              </w:rPr>
              <w:t xml:space="preserve"> </w:t>
            </w:r>
            <w:r w:rsidRPr="005921C0">
              <w:rPr>
                <w:rFonts w:cs="Times New Roman"/>
                <w:bCs/>
                <w:kern w:val="2"/>
                <w:sz w:val="20"/>
                <w:szCs w:val="20"/>
                <w:lang w:val="ro-RO" w:eastAsia="ru-RU"/>
              </w:rPr>
              <w:t>Infrastructură și dotări ale  serviciilor de ordine și securitate publică în zona de securitate modernizate până în anul 2030</w:t>
            </w:r>
          </w:p>
        </w:tc>
        <w:tc>
          <w:tcPr>
            <w:tcW w:w="655" w:type="pct"/>
            <w:shd w:val="clear" w:color="auto" w:fill="00B0F0"/>
            <w:vAlign w:val="center"/>
          </w:tcPr>
          <w:p w14:paraId="25809624" w14:textId="72638D36" w:rsidR="00657BDD" w:rsidRPr="00105C6E" w:rsidRDefault="00657BDD" w:rsidP="00657BDD">
            <w:pPr>
              <w:spacing w:after="0"/>
              <w:jc w:val="center"/>
              <w:rPr>
                <w:rFonts w:cs="Times New Roman"/>
                <w:sz w:val="20"/>
                <w:szCs w:val="20"/>
                <w:lang w:val="ro-RO" w:eastAsia="ru-RU"/>
              </w:rPr>
            </w:pPr>
            <w:r w:rsidRPr="005921C0">
              <w:rPr>
                <w:rFonts w:cs="Times New Roman"/>
                <w:bCs/>
                <w:sz w:val="20"/>
                <w:szCs w:val="20"/>
              </w:rPr>
              <w:t>274.</w:t>
            </w:r>
            <w:r w:rsidR="00105C6E">
              <w:rPr>
                <w:rFonts w:cs="Times New Roman"/>
                <w:bCs/>
                <w:sz w:val="20"/>
                <w:szCs w:val="20"/>
                <w:lang w:val="ro-RO"/>
              </w:rPr>
              <w:t>450</w:t>
            </w:r>
            <w:r w:rsidRPr="005921C0">
              <w:rPr>
                <w:rFonts w:cs="Times New Roman"/>
                <w:bCs/>
                <w:sz w:val="20"/>
                <w:szCs w:val="20"/>
              </w:rPr>
              <w:t>,</w:t>
            </w:r>
            <w:r w:rsidR="00105C6E">
              <w:rPr>
                <w:rFonts w:cs="Times New Roman"/>
                <w:bCs/>
                <w:sz w:val="20"/>
                <w:szCs w:val="20"/>
                <w:lang w:val="ro-RO"/>
              </w:rPr>
              <w:t>7</w:t>
            </w:r>
          </w:p>
        </w:tc>
        <w:tc>
          <w:tcPr>
            <w:tcW w:w="538" w:type="pct"/>
            <w:shd w:val="clear" w:color="auto" w:fill="00B0F0"/>
            <w:vAlign w:val="center"/>
          </w:tcPr>
          <w:p w14:paraId="510CA10B" w14:textId="07A7DE5D" w:rsidR="00657BDD" w:rsidRPr="00105C6E" w:rsidRDefault="00657BDD" w:rsidP="00657BDD">
            <w:pPr>
              <w:spacing w:after="0"/>
              <w:jc w:val="center"/>
              <w:rPr>
                <w:rFonts w:cs="Times New Roman"/>
                <w:sz w:val="20"/>
                <w:szCs w:val="20"/>
                <w:lang w:val="ro-RO" w:eastAsia="ru-RU"/>
              </w:rPr>
            </w:pPr>
            <w:r w:rsidRPr="005921C0">
              <w:rPr>
                <w:rFonts w:cs="Times New Roman"/>
                <w:bCs/>
                <w:sz w:val="20"/>
                <w:szCs w:val="20"/>
              </w:rPr>
              <w:t>55.</w:t>
            </w:r>
            <w:r w:rsidR="00105C6E">
              <w:rPr>
                <w:rFonts w:cs="Times New Roman"/>
                <w:bCs/>
                <w:sz w:val="20"/>
                <w:szCs w:val="20"/>
                <w:lang w:val="ro-RO"/>
              </w:rPr>
              <w:t>217</w:t>
            </w:r>
            <w:r w:rsidRPr="005921C0">
              <w:rPr>
                <w:rFonts w:cs="Times New Roman"/>
                <w:bCs/>
                <w:sz w:val="20"/>
                <w:szCs w:val="20"/>
              </w:rPr>
              <w:t>,</w:t>
            </w:r>
            <w:r w:rsidR="00105C6E">
              <w:rPr>
                <w:rFonts w:cs="Times New Roman"/>
                <w:bCs/>
                <w:sz w:val="20"/>
                <w:szCs w:val="20"/>
                <w:lang w:val="ro-RO"/>
              </w:rPr>
              <w:t>2</w:t>
            </w:r>
          </w:p>
        </w:tc>
        <w:tc>
          <w:tcPr>
            <w:tcW w:w="596" w:type="pct"/>
            <w:shd w:val="clear" w:color="auto" w:fill="00B0F0"/>
            <w:vAlign w:val="center"/>
          </w:tcPr>
          <w:p w14:paraId="6C8B0526" w14:textId="2C7E84D8"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79.023,5</w:t>
            </w:r>
          </w:p>
        </w:tc>
        <w:tc>
          <w:tcPr>
            <w:tcW w:w="557" w:type="pct"/>
            <w:shd w:val="clear" w:color="auto" w:fill="00B0F0"/>
            <w:vAlign w:val="center"/>
          </w:tcPr>
          <w:p w14:paraId="2C51810F" w14:textId="002D2C14" w:rsidR="00657BDD" w:rsidRPr="005921C0" w:rsidRDefault="00657BDD" w:rsidP="00657BDD">
            <w:pPr>
              <w:spacing w:after="0"/>
              <w:jc w:val="center"/>
              <w:rPr>
                <w:rFonts w:cs="Times New Roman"/>
                <w:sz w:val="20"/>
                <w:szCs w:val="20"/>
                <w:lang w:val="ro-RO" w:eastAsia="ru-RU"/>
              </w:rPr>
            </w:pPr>
            <w:r w:rsidRPr="005921C0">
              <w:rPr>
                <w:rFonts w:cs="Times New Roman"/>
                <w:bCs/>
                <w:sz w:val="20"/>
                <w:szCs w:val="20"/>
              </w:rPr>
              <w:t>54.689,1</w:t>
            </w:r>
          </w:p>
        </w:tc>
        <w:tc>
          <w:tcPr>
            <w:tcW w:w="551" w:type="pct"/>
            <w:shd w:val="clear" w:color="auto" w:fill="00B0F0"/>
            <w:vAlign w:val="center"/>
          </w:tcPr>
          <w:p w14:paraId="4DD0F8D6" w14:textId="6000AD77" w:rsidR="00657BDD" w:rsidRPr="005921C0" w:rsidRDefault="00657BDD" w:rsidP="00657BDD">
            <w:pPr>
              <w:spacing w:after="0"/>
              <w:jc w:val="center"/>
              <w:rPr>
                <w:rFonts w:cs="Times New Roman"/>
                <w:strike/>
                <w:sz w:val="20"/>
                <w:szCs w:val="20"/>
                <w:lang w:val="ro-RO" w:eastAsia="ru-RU"/>
              </w:rPr>
            </w:pPr>
            <w:r w:rsidRPr="005921C0">
              <w:rPr>
                <w:rFonts w:cs="Times New Roman"/>
                <w:bCs/>
                <w:sz w:val="20"/>
                <w:szCs w:val="20"/>
              </w:rPr>
              <w:t>44.029,4</w:t>
            </w:r>
          </w:p>
        </w:tc>
        <w:tc>
          <w:tcPr>
            <w:tcW w:w="551" w:type="pct"/>
            <w:shd w:val="clear" w:color="auto" w:fill="00B0F0"/>
            <w:vAlign w:val="center"/>
          </w:tcPr>
          <w:p w14:paraId="6879E1BE" w14:textId="150BA2E6" w:rsidR="00657BDD" w:rsidRPr="005921C0" w:rsidRDefault="00657BDD" w:rsidP="00657BDD">
            <w:pPr>
              <w:spacing w:after="0"/>
              <w:jc w:val="center"/>
              <w:rPr>
                <w:rFonts w:cs="Times New Roman"/>
                <w:strike/>
                <w:sz w:val="20"/>
                <w:szCs w:val="20"/>
                <w:lang w:val="ro-RO" w:eastAsia="ru-RU"/>
              </w:rPr>
            </w:pPr>
            <w:r w:rsidRPr="005921C0">
              <w:rPr>
                <w:rFonts w:cs="Times New Roman"/>
                <w:bCs/>
                <w:sz w:val="20"/>
                <w:szCs w:val="20"/>
              </w:rPr>
              <w:t>41.491,5</w:t>
            </w:r>
          </w:p>
        </w:tc>
      </w:tr>
      <w:tr w:rsidR="00650051" w:rsidRPr="005B7C9A" w14:paraId="2D0C046A" w14:textId="26D62884" w:rsidTr="006D25BE">
        <w:trPr>
          <w:trHeight w:val="53"/>
        </w:trPr>
        <w:tc>
          <w:tcPr>
            <w:tcW w:w="1552" w:type="pct"/>
            <w:shd w:val="clear" w:color="auto" w:fill="FFFFFF"/>
            <w:vAlign w:val="center"/>
          </w:tcPr>
          <w:p w14:paraId="0D4A9F43" w14:textId="3225ECD4"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02CC81F2" w14:textId="25238A36"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274.450,6</w:t>
            </w:r>
          </w:p>
        </w:tc>
        <w:tc>
          <w:tcPr>
            <w:tcW w:w="538" w:type="pct"/>
            <w:vAlign w:val="center"/>
          </w:tcPr>
          <w:p w14:paraId="7AA1C1A8" w14:textId="6141E9C4" w:rsidR="00650051" w:rsidRPr="005921C0" w:rsidRDefault="006F7749" w:rsidP="00650051">
            <w:pPr>
              <w:spacing w:after="0"/>
              <w:jc w:val="center"/>
              <w:rPr>
                <w:rFonts w:cs="Times New Roman"/>
                <w:i/>
                <w:iCs/>
                <w:sz w:val="20"/>
                <w:szCs w:val="20"/>
                <w:lang w:val="ro-RO" w:eastAsia="ru-RU"/>
              </w:rPr>
            </w:pPr>
            <w:r>
              <w:rPr>
                <w:rFonts w:cs="Times New Roman"/>
                <w:i/>
                <w:iCs/>
                <w:sz w:val="20"/>
                <w:szCs w:val="20"/>
                <w:lang w:val="ro-RO" w:eastAsia="ru-RU"/>
              </w:rPr>
              <w:t>55.217,2</w:t>
            </w:r>
          </w:p>
        </w:tc>
        <w:tc>
          <w:tcPr>
            <w:tcW w:w="596" w:type="pct"/>
            <w:vAlign w:val="center"/>
          </w:tcPr>
          <w:p w14:paraId="2A8F3256" w14:textId="2A2D42C0" w:rsidR="00650051" w:rsidRPr="005921C0" w:rsidRDefault="006F7749" w:rsidP="00650051">
            <w:pPr>
              <w:spacing w:after="0"/>
              <w:jc w:val="center"/>
              <w:rPr>
                <w:rFonts w:cs="Times New Roman"/>
                <w:i/>
                <w:iCs/>
                <w:sz w:val="20"/>
                <w:szCs w:val="20"/>
                <w:lang w:val="ro-RO" w:eastAsia="ru-RU"/>
              </w:rPr>
            </w:pPr>
            <w:r>
              <w:rPr>
                <w:rFonts w:cs="Times New Roman"/>
                <w:i/>
                <w:iCs/>
                <w:sz w:val="20"/>
                <w:szCs w:val="20"/>
                <w:lang w:val="ro-RO" w:eastAsia="ru-RU"/>
              </w:rPr>
              <w:t>79.023,5</w:t>
            </w:r>
          </w:p>
        </w:tc>
        <w:tc>
          <w:tcPr>
            <w:tcW w:w="557" w:type="pct"/>
            <w:vAlign w:val="center"/>
          </w:tcPr>
          <w:p w14:paraId="528AD1CD" w14:textId="70485FE1" w:rsidR="00650051" w:rsidRPr="005921C0" w:rsidRDefault="006F7749" w:rsidP="00650051">
            <w:pPr>
              <w:spacing w:after="0"/>
              <w:jc w:val="center"/>
              <w:rPr>
                <w:rFonts w:cs="Times New Roman"/>
                <w:i/>
                <w:iCs/>
                <w:sz w:val="20"/>
                <w:szCs w:val="20"/>
                <w:lang w:val="ro-RO" w:eastAsia="ru-RU"/>
              </w:rPr>
            </w:pPr>
            <w:r>
              <w:rPr>
                <w:rFonts w:cs="Times New Roman"/>
                <w:i/>
                <w:iCs/>
                <w:sz w:val="20"/>
                <w:szCs w:val="20"/>
                <w:lang w:val="ro-RO" w:eastAsia="ru-RU"/>
              </w:rPr>
              <w:t>54.689,1</w:t>
            </w:r>
          </w:p>
        </w:tc>
        <w:tc>
          <w:tcPr>
            <w:tcW w:w="551" w:type="pct"/>
            <w:shd w:val="clear" w:color="auto" w:fill="FFFFFF"/>
            <w:vAlign w:val="center"/>
          </w:tcPr>
          <w:p w14:paraId="329F8708" w14:textId="03F096FF" w:rsidR="00650051" w:rsidRPr="006F7749" w:rsidRDefault="006F7749" w:rsidP="00650051">
            <w:pPr>
              <w:spacing w:after="0"/>
              <w:jc w:val="center"/>
              <w:rPr>
                <w:rFonts w:cs="Times New Roman"/>
                <w:i/>
                <w:iCs/>
                <w:sz w:val="20"/>
                <w:szCs w:val="20"/>
                <w:lang w:val="ro-RO" w:eastAsia="ru-RU"/>
              </w:rPr>
            </w:pPr>
            <w:r w:rsidRPr="006F7749">
              <w:rPr>
                <w:rFonts w:cs="Times New Roman"/>
                <w:i/>
                <w:iCs/>
                <w:sz w:val="20"/>
                <w:szCs w:val="20"/>
                <w:lang w:val="ro-RO" w:eastAsia="ru-RU"/>
              </w:rPr>
              <w:t>44.029,4</w:t>
            </w:r>
          </w:p>
        </w:tc>
        <w:tc>
          <w:tcPr>
            <w:tcW w:w="551" w:type="pct"/>
            <w:shd w:val="clear" w:color="auto" w:fill="FFFFFF"/>
          </w:tcPr>
          <w:p w14:paraId="00DD186A" w14:textId="1BC29373" w:rsidR="00650051" w:rsidRPr="006F7749" w:rsidRDefault="006F7749" w:rsidP="00650051">
            <w:pPr>
              <w:spacing w:after="0"/>
              <w:jc w:val="center"/>
              <w:rPr>
                <w:rFonts w:cs="Times New Roman"/>
                <w:i/>
                <w:iCs/>
                <w:sz w:val="20"/>
                <w:szCs w:val="20"/>
                <w:lang w:val="ro-RO" w:eastAsia="ru-RU"/>
              </w:rPr>
            </w:pPr>
            <w:r w:rsidRPr="006F7749">
              <w:rPr>
                <w:rFonts w:cs="Times New Roman"/>
                <w:i/>
                <w:iCs/>
                <w:sz w:val="20"/>
                <w:szCs w:val="20"/>
                <w:lang w:val="ro-RO" w:eastAsia="ru-RU"/>
              </w:rPr>
              <w:t>41.491,5</w:t>
            </w:r>
          </w:p>
        </w:tc>
      </w:tr>
      <w:tr w:rsidR="00650051" w:rsidRPr="005B7C9A" w14:paraId="1E8E6B52" w14:textId="3CFE406C" w:rsidTr="006D25BE">
        <w:trPr>
          <w:trHeight w:val="53"/>
        </w:trPr>
        <w:tc>
          <w:tcPr>
            <w:tcW w:w="1552" w:type="pct"/>
            <w:shd w:val="clear" w:color="auto" w:fill="FFFFFF"/>
            <w:vAlign w:val="center"/>
          </w:tcPr>
          <w:p w14:paraId="41122D6D" w14:textId="0CFEB38D"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71657D0B" w14:textId="5F79F0D6"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38" w:type="pct"/>
            <w:vAlign w:val="center"/>
          </w:tcPr>
          <w:p w14:paraId="5D7B1604" w14:textId="7E3B61E6" w:rsidR="00650051" w:rsidRPr="005921C0" w:rsidRDefault="001536D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56087D94" w14:textId="5B033491" w:rsidR="00650051" w:rsidRPr="005921C0" w:rsidRDefault="001536D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1EC686B6" w14:textId="4D851F5F" w:rsidR="00650051" w:rsidRPr="005921C0" w:rsidRDefault="001536D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412AB5D4" w14:textId="071155C2" w:rsidR="00650051" w:rsidRPr="001536D0" w:rsidRDefault="001536D0" w:rsidP="00650051">
            <w:pPr>
              <w:spacing w:after="0"/>
              <w:jc w:val="center"/>
              <w:rPr>
                <w:rFonts w:cs="Times New Roman"/>
                <w:i/>
                <w:iCs/>
                <w:sz w:val="20"/>
                <w:szCs w:val="20"/>
                <w:lang w:val="ro-RO" w:eastAsia="ru-RU"/>
              </w:rPr>
            </w:pPr>
            <w:r w:rsidRPr="001536D0">
              <w:rPr>
                <w:rFonts w:cs="Times New Roman"/>
                <w:i/>
                <w:iCs/>
                <w:sz w:val="20"/>
                <w:szCs w:val="20"/>
                <w:lang w:val="ro-RO" w:eastAsia="ru-RU"/>
              </w:rPr>
              <w:t>0</w:t>
            </w:r>
          </w:p>
        </w:tc>
        <w:tc>
          <w:tcPr>
            <w:tcW w:w="551" w:type="pct"/>
          </w:tcPr>
          <w:p w14:paraId="00FA45A2" w14:textId="463140A0" w:rsidR="00650051" w:rsidRPr="001536D0" w:rsidRDefault="001536D0" w:rsidP="00650051">
            <w:pPr>
              <w:spacing w:after="0"/>
              <w:jc w:val="center"/>
              <w:rPr>
                <w:rFonts w:cs="Times New Roman"/>
                <w:i/>
                <w:iCs/>
                <w:sz w:val="20"/>
                <w:szCs w:val="20"/>
                <w:lang w:val="ro-RO" w:eastAsia="ru-RU"/>
              </w:rPr>
            </w:pPr>
            <w:r w:rsidRPr="001536D0">
              <w:rPr>
                <w:rFonts w:cs="Times New Roman"/>
                <w:i/>
                <w:iCs/>
                <w:sz w:val="20"/>
                <w:szCs w:val="20"/>
                <w:lang w:val="ro-RO" w:eastAsia="ru-RU"/>
              </w:rPr>
              <w:t>0</w:t>
            </w:r>
          </w:p>
        </w:tc>
      </w:tr>
      <w:tr w:rsidR="00650051" w:rsidRPr="005B7C9A" w14:paraId="54F91546" w14:textId="77777777" w:rsidTr="006D25BE">
        <w:trPr>
          <w:trHeight w:val="53"/>
        </w:trPr>
        <w:tc>
          <w:tcPr>
            <w:tcW w:w="1552" w:type="pct"/>
            <w:shd w:val="clear" w:color="auto" w:fill="FFFFFF"/>
            <w:vAlign w:val="center"/>
          </w:tcPr>
          <w:p w14:paraId="225413E5" w14:textId="223AF27B" w:rsidR="00650051" w:rsidRPr="005921C0" w:rsidRDefault="00650051"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vAlign w:val="center"/>
          </w:tcPr>
          <w:p w14:paraId="0E8C078B" w14:textId="64193CEC"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38" w:type="pct"/>
            <w:vAlign w:val="center"/>
          </w:tcPr>
          <w:p w14:paraId="2D0A20AF" w14:textId="4727C025" w:rsidR="00650051" w:rsidRPr="005921C0" w:rsidRDefault="001536D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7894B476" w14:textId="25047273" w:rsidR="00650051" w:rsidRPr="005921C0" w:rsidRDefault="001536D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7BDBF95E" w14:textId="36A75C1A" w:rsidR="00650051" w:rsidRPr="005921C0" w:rsidRDefault="001536D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40FA7792" w14:textId="3F13A993" w:rsidR="00650051" w:rsidRPr="001536D0" w:rsidRDefault="001536D0" w:rsidP="00650051">
            <w:pPr>
              <w:spacing w:after="0"/>
              <w:jc w:val="center"/>
              <w:rPr>
                <w:rFonts w:cs="Times New Roman"/>
                <w:i/>
                <w:iCs/>
                <w:sz w:val="20"/>
                <w:szCs w:val="20"/>
                <w:lang w:val="ro-RO" w:eastAsia="ru-RU"/>
              </w:rPr>
            </w:pPr>
            <w:r w:rsidRPr="001536D0">
              <w:rPr>
                <w:rFonts w:cs="Times New Roman"/>
                <w:i/>
                <w:iCs/>
                <w:sz w:val="20"/>
                <w:szCs w:val="20"/>
                <w:lang w:val="ro-RO" w:eastAsia="ru-RU"/>
              </w:rPr>
              <w:t>0</w:t>
            </w:r>
          </w:p>
        </w:tc>
        <w:tc>
          <w:tcPr>
            <w:tcW w:w="551" w:type="pct"/>
          </w:tcPr>
          <w:p w14:paraId="63C9EF95" w14:textId="705D4BC9" w:rsidR="00650051" w:rsidRPr="001536D0" w:rsidRDefault="001536D0" w:rsidP="00650051">
            <w:pPr>
              <w:spacing w:after="0"/>
              <w:jc w:val="center"/>
              <w:rPr>
                <w:rFonts w:cs="Times New Roman"/>
                <w:i/>
                <w:iCs/>
                <w:sz w:val="20"/>
                <w:szCs w:val="20"/>
                <w:lang w:val="ro-RO" w:eastAsia="ru-RU"/>
              </w:rPr>
            </w:pPr>
            <w:r w:rsidRPr="001536D0">
              <w:rPr>
                <w:rFonts w:cs="Times New Roman"/>
                <w:i/>
                <w:iCs/>
                <w:sz w:val="20"/>
                <w:szCs w:val="20"/>
                <w:lang w:val="ro-RO" w:eastAsia="ru-RU"/>
              </w:rPr>
              <w:t>0</w:t>
            </w:r>
          </w:p>
        </w:tc>
      </w:tr>
      <w:tr w:rsidR="00657BDD" w:rsidRPr="005B7C9A" w14:paraId="7F6069E9" w14:textId="77777777" w:rsidTr="007B5270">
        <w:trPr>
          <w:trHeight w:val="53"/>
        </w:trPr>
        <w:tc>
          <w:tcPr>
            <w:tcW w:w="1552" w:type="pct"/>
            <w:shd w:val="clear" w:color="auto" w:fill="00B0F0"/>
            <w:vAlign w:val="center"/>
          </w:tcPr>
          <w:p w14:paraId="3BF59C49" w14:textId="5E9BA44C" w:rsidR="00657BDD" w:rsidRPr="005921C0" w:rsidRDefault="00657BDD" w:rsidP="00657BDD">
            <w:pPr>
              <w:spacing w:after="0"/>
              <w:jc w:val="both"/>
              <w:rPr>
                <w:rFonts w:cs="Times New Roman"/>
                <w:i/>
                <w:iCs/>
                <w:sz w:val="20"/>
                <w:szCs w:val="20"/>
                <w:lang w:val="ro-RO" w:eastAsia="ru-RU"/>
              </w:rPr>
            </w:pPr>
            <w:r w:rsidRPr="005921C0">
              <w:rPr>
                <w:rFonts w:eastAsia="Calibri" w:cs="Times New Roman"/>
                <w:b/>
                <w:bCs/>
                <w:sz w:val="20"/>
                <w:szCs w:val="20"/>
                <w:lang w:val="ro-RO" w:eastAsia="zh-CN"/>
              </w:rPr>
              <w:t>1.6</w:t>
            </w:r>
            <w:r w:rsidRPr="005921C0">
              <w:rPr>
                <w:rFonts w:eastAsia="Calibri" w:cs="Times New Roman"/>
                <w:bCs/>
                <w:sz w:val="20"/>
                <w:szCs w:val="20"/>
                <w:lang w:val="ro-RO" w:eastAsia="zh-CN"/>
              </w:rPr>
              <w:t xml:space="preserve"> Protecția și reziliența </w:t>
            </w:r>
            <w:r w:rsidRPr="005921C0">
              <w:rPr>
                <w:rFonts w:cs="Times New Roman"/>
                <w:bCs/>
                <w:kern w:val="2"/>
                <w:sz w:val="20"/>
                <w:szCs w:val="20"/>
                <w:lang w:val="ro-RO" w:eastAsia="ru-RU"/>
              </w:rPr>
              <w:t>infrastructurilor</w:t>
            </w:r>
            <w:r w:rsidRPr="005921C0">
              <w:rPr>
                <w:rFonts w:eastAsia="Calibri" w:cs="Times New Roman"/>
                <w:bCs/>
                <w:sz w:val="20"/>
                <w:szCs w:val="20"/>
                <w:lang w:val="ro-RO" w:eastAsia="zh-CN"/>
              </w:rPr>
              <w:t xml:space="preserve"> critice naționale și a entităților critice, asigurată în conformitate cu </w:t>
            </w:r>
            <w:r w:rsidRPr="005921C0">
              <w:rPr>
                <w:rFonts w:cs="Times New Roman"/>
                <w:bCs/>
                <w:kern w:val="2"/>
                <w:sz w:val="20"/>
                <w:szCs w:val="20"/>
                <w:lang w:val="ro-RO" w:eastAsia="ru-RU"/>
              </w:rPr>
              <w:t>standardele</w:t>
            </w:r>
            <w:r w:rsidRPr="005921C0">
              <w:rPr>
                <w:rFonts w:eastAsia="Calibri" w:cs="Times New Roman"/>
                <w:bCs/>
                <w:sz w:val="20"/>
                <w:szCs w:val="20"/>
                <w:lang w:val="ro-RO" w:eastAsia="zh-CN"/>
              </w:rPr>
              <w:t xml:space="preserve"> Uniunii Europene, până în anul 2030</w:t>
            </w:r>
          </w:p>
        </w:tc>
        <w:tc>
          <w:tcPr>
            <w:tcW w:w="655" w:type="pct"/>
            <w:shd w:val="clear" w:color="auto" w:fill="00B0F0"/>
            <w:vAlign w:val="center"/>
          </w:tcPr>
          <w:p w14:paraId="58797F59" w14:textId="4EDE7D30" w:rsidR="00657BDD" w:rsidRPr="005921C0" w:rsidRDefault="00657BDD" w:rsidP="00657BDD">
            <w:pPr>
              <w:spacing w:after="0"/>
              <w:jc w:val="center"/>
              <w:rPr>
                <w:rFonts w:cs="Times New Roman"/>
                <w:i/>
                <w:iCs/>
                <w:sz w:val="20"/>
                <w:szCs w:val="20"/>
                <w:lang w:val="ro-RO" w:eastAsia="ru-RU"/>
              </w:rPr>
            </w:pPr>
            <w:r w:rsidRPr="005921C0">
              <w:rPr>
                <w:rFonts w:cs="Times New Roman"/>
                <w:bCs/>
                <w:sz w:val="20"/>
                <w:szCs w:val="20"/>
              </w:rPr>
              <w:t>7.272,7</w:t>
            </w:r>
          </w:p>
        </w:tc>
        <w:tc>
          <w:tcPr>
            <w:tcW w:w="538" w:type="pct"/>
            <w:shd w:val="clear" w:color="auto" w:fill="00B0F0"/>
            <w:vAlign w:val="center"/>
          </w:tcPr>
          <w:p w14:paraId="48176993" w14:textId="4875757A" w:rsidR="00657BDD" w:rsidRPr="001004AA" w:rsidRDefault="00657BDD" w:rsidP="00657BDD">
            <w:pPr>
              <w:spacing w:after="0"/>
              <w:jc w:val="center"/>
              <w:rPr>
                <w:rFonts w:cs="Times New Roman"/>
                <w:sz w:val="20"/>
                <w:szCs w:val="20"/>
                <w:lang w:val="ro-RO" w:eastAsia="ru-RU"/>
              </w:rPr>
            </w:pPr>
            <w:r w:rsidRPr="001004AA">
              <w:rPr>
                <w:rFonts w:cs="Times New Roman"/>
                <w:bCs/>
                <w:sz w:val="20"/>
                <w:szCs w:val="20"/>
              </w:rPr>
              <w:t>7.272,7</w:t>
            </w:r>
          </w:p>
        </w:tc>
        <w:tc>
          <w:tcPr>
            <w:tcW w:w="596" w:type="pct"/>
            <w:shd w:val="clear" w:color="auto" w:fill="00B0F0"/>
            <w:vAlign w:val="center"/>
          </w:tcPr>
          <w:p w14:paraId="453A09FD" w14:textId="7114A2E8" w:rsidR="00657BDD" w:rsidRPr="001004AA" w:rsidRDefault="001004AA" w:rsidP="00657BDD">
            <w:pPr>
              <w:spacing w:after="0"/>
              <w:jc w:val="center"/>
              <w:rPr>
                <w:rFonts w:cs="Times New Roman"/>
                <w:sz w:val="20"/>
                <w:szCs w:val="20"/>
                <w:lang w:val="ro-RO" w:eastAsia="ru-RU"/>
              </w:rPr>
            </w:pPr>
            <w:r w:rsidRPr="001004AA">
              <w:rPr>
                <w:rFonts w:cs="Times New Roman"/>
                <w:sz w:val="20"/>
                <w:szCs w:val="20"/>
                <w:lang w:val="ro-RO" w:eastAsia="ru-RU"/>
              </w:rPr>
              <w:t>0</w:t>
            </w:r>
          </w:p>
        </w:tc>
        <w:tc>
          <w:tcPr>
            <w:tcW w:w="557" w:type="pct"/>
            <w:shd w:val="clear" w:color="auto" w:fill="00B0F0"/>
            <w:vAlign w:val="center"/>
          </w:tcPr>
          <w:p w14:paraId="5E9E03BA" w14:textId="3FBA8934" w:rsidR="00657BDD" w:rsidRPr="001004AA" w:rsidRDefault="001004AA" w:rsidP="00657BDD">
            <w:pPr>
              <w:spacing w:after="0"/>
              <w:jc w:val="center"/>
              <w:rPr>
                <w:rFonts w:cs="Times New Roman"/>
                <w:sz w:val="20"/>
                <w:szCs w:val="20"/>
                <w:lang w:val="ro-RO" w:eastAsia="ru-RU"/>
              </w:rPr>
            </w:pPr>
            <w:r w:rsidRPr="001004AA">
              <w:rPr>
                <w:rFonts w:cs="Times New Roman"/>
                <w:sz w:val="20"/>
                <w:szCs w:val="20"/>
                <w:lang w:val="ro-RO" w:eastAsia="ru-RU"/>
              </w:rPr>
              <w:t>0</w:t>
            </w:r>
          </w:p>
        </w:tc>
        <w:tc>
          <w:tcPr>
            <w:tcW w:w="551" w:type="pct"/>
            <w:shd w:val="clear" w:color="auto" w:fill="00B0F0"/>
            <w:vAlign w:val="center"/>
          </w:tcPr>
          <w:p w14:paraId="6F01E816" w14:textId="722E7185" w:rsidR="00657BDD" w:rsidRPr="001004AA" w:rsidRDefault="001004AA" w:rsidP="00657BDD">
            <w:pPr>
              <w:spacing w:after="0"/>
              <w:jc w:val="center"/>
              <w:rPr>
                <w:rFonts w:cs="Times New Roman"/>
                <w:sz w:val="20"/>
                <w:szCs w:val="20"/>
                <w:lang w:val="ro-RO" w:eastAsia="ru-RU"/>
              </w:rPr>
            </w:pPr>
            <w:r w:rsidRPr="001004AA">
              <w:rPr>
                <w:rFonts w:cs="Times New Roman"/>
                <w:sz w:val="20"/>
                <w:szCs w:val="20"/>
                <w:lang w:val="ro-RO" w:eastAsia="ru-RU"/>
              </w:rPr>
              <w:t>0</w:t>
            </w:r>
          </w:p>
        </w:tc>
        <w:tc>
          <w:tcPr>
            <w:tcW w:w="551" w:type="pct"/>
            <w:shd w:val="clear" w:color="auto" w:fill="00B0F0"/>
            <w:vAlign w:val="center"/>
          </w:tcPr>
          <w:p w14:paraId="373174F3" w14:textId="7AC5EF27" w:rsidR="00657BDD" w:rsidRPr="001004AA" w:rsidRDefault="001004AA" w:rsidP="00657BDD">
            <w:pPr>
              <w:spacing w:after="0"/>
              <w:jc w:val="center"/>
              <w:rPr>
                <w:rFonts w:cs="Times New Roman"/>
                <w:sz w:val="20"/>
                <w:szCs w:val="20"/>
                <w:lang w:val="ro-RO" w:eastAsia="ru-RU"/>
              </w:rPr>
            </w:pPr>
            <w:r w:rsidRPr="001004AA">
              <w:rPr>
                <w:rFonts w:cs="Times New Roman"/>
                <w:sz w:val="20"/>
                <w:szCs w:val="20"/>
                <w:lang w:val="ro-RO" w:eastAsia="ru-RU"/>
              </w:rPr>
              <w:t>0</w:t>
            </w:r>
          </w:p>
        </w:tc>
      </w:tr>
      <w:tr w:rsidR="00650051" w:rsidRPr="005B7C9A" w14:paraId="620711DF" w14:textId="77777777" w:rsidTr="006D25BE">
        <w:trPr>
          <w:trHeight w:val="53"/>
        </w:trPr>
        <w:tc>
          <w:tcPr>
            <w:tcW w:w="1552" w:type="pct"/>
            <w:shd w:val="clear" w:color="auto" w:fill="FFFFFF"/>
            <w:vAlign w:val="center"/>
          </w:tcPr>
          <w:p w14:paraId="3EC1610D" w14:textId="3996E1FE" w:rsidR="00650051" w:rsidRPr="005921C0" w:rsidRDefault="00650051" w:rsidP="00650051">
            <w:pPr>
              <w:spacing w:after="0"/>
              <w:jc w:val="both"/>
              <w:rPr>
                <w:rFonts w:eastAsia="Calibri" w:cs="Times New Roman"/>
                <w:b/>
                <w:bCs/>
                <w:sz w:val="20"/>
                <w:szCs w:val="20"/>
                <w:lang w:val="ro-RO" w:eastAsia="zh-CN"/>
              </w:rPr>
            </w:pPr>
            <w:r w:rsidRPr="005921C0">
              <w:rPr>
                <w:rFonts w:cs="Times New Roman"/>
                <w:i/>
                <w:iCs/>
                <w:sz w:val="20"/>
                <w:szCs w:val="20"/>
                <w:lang w:val="ro-RO" w:eastAsia="ru-RU"/>
              </w:rPr>
              <w:t>Costuri acoperite în CBTM (mii lei)</w:t>
            </w:r>
          </w:p>
        </w:tc>
        <w:tc>
          <w:tcPr>
            <w:tcW w:w="655" w:type="pct"/>
            <w:vAlign w:val="center"/>
          </w:tcPr>
          <w:p w14:paraId="1BB51674" w14:textId="71420268" w:rsidR="00650051" w:rsidRPr="001004AA" w:rsidRDefault="00311244" w:rsidP="00650051">
            <w:pPr>
              <w:spacing w:after="0"/>
              <w:jc w:val="center"/>
              <w:rPr>
                <w:rFonts w:cs="Times New Roman"/>
                <w:i/>
                <w:iCs/>
                <w:sz w:val="20"/>
                <w:szCs w:val="20"/>
                <w:lang w:val="ro-RO" w:eastAsia="ru-RU"/>
              </w:rPr>
            </w:pPr>
            <w:r w:rsidRPr="001004AA">
              <w:rPr>
                <w:rFonts w:cs="Times New Roman"/>
                <w:i/>
                <w:iCs/>
                <w:sz w:val="20"/>
                <w:szCs w:val="20"/>
                <w:lang w:val="ro-RO" w:eastAsia="ru-RU"/>
              </w:rPr>
              <w:t>7.272,7</w:t>
            </w:r>
          </w:p>
        </w:tc>
        <w:tc>
          <w:tcPr>
            <w:tcW w:w="538" w:type="pct"/>
            <w:vAlign w:val="center"/>
          </w:tcPr>
          <w:p w14:paraId="0D2B14BE" w14:textId="700453ED" w:rsidR="00650051" w:rsidRPr="001004AA" w:rsidRDefault="001004AA" w:rsidP="00650051">
            <w:pPr>
              <w:spacing w:after="0"/>
              <w:jc w:val="center"/>
              <w:rPr>
                <w:rFonts w:cs="Times New Roman"/>
                <w:i/>
                <w:iCs/>
                <w:sz w:val="20"/>
                <w:szCs w:val="20"/>
                <w:lang w:val="ro-RO" w:eastAsia="ru-RU"/>
              </w:rPr>
            </w:pPr>
            <w:r w:rsidRPr="001004AA">
              <w:rPr>
                <w:rFonts w:cs="Times New Roman"/>
                <w:i/>
                <w:iCs/>
                <w:sz w:val="20"/>
                <w:szCs w:val="20"/>
                <w:lang w:val="ro-RO" w:eastAsia="ru-RU"/>
              </w:rPr>
              <w:t>7.272,7</w:t>
            </w:r>
          </w:p>
        </w:tc>
        <w:tc>
          <w:tcPr>
            <w:tcW w:w="596" w:type="pct"/>
            <w:vAlign w:val="center"/>
          </w:tcPr>
          <w:p w14:paraId="48C78421" w14:textId="1674A47B"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2924CE4A" w14:textId="13D6B929"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040AC0BB" w14:textId="2F8A0F65"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2B90833A" w14:textId="5E7D63B1"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50051" w:rsidRPr="005B7C9A" w14:paraId="3BA023D2" w14:textId="77777777" w:rsidTr="006D25BE">
        <w:trPr>
          <w:trHeight w:val="53"/>
        </w:trPr>
        <w:tc>
          <w:tcPr>
            <w:tcW w:w="1552" w:type="pct"/>
            <w:shd w:val="clear" w:color="auto" w:fill="FFFFFF"/>
            <w:vAlign w:val="center"/>
          </w:tcPr>
          <w:p w14:paraId="40FBF0C9" w14:textId="05F6D42D" w:rsidR="00650051" w:rsidRPr="005921C0" w:rsidRDefault="00650051" w:rsidP="00650051">
            <w:pPr>
              <w:spacing w:after="0"/>
              <w:jc w:val="both"/>
              <w:rPr>
                <w:rFonts w:eastAsia="Calibri" w:cs="Times New Roman"/>
                <w:b/>
                <w:bCs/>
                <w:sz w:val="20"/>
                <w:szCs w:val="20"/>
                <w:lang w:val="ro-RO" w:eastAsia="zh-CN"/>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1C5127BD" w14:textId="0C63492B" w:rsidR="00650051" w:rsidRPr="001004AA" w:rsidRDefault="00311244" w:rsidP="00650051">
            <w:pPr>
              <w:spacing w:after="0"/>
              <w:jc w:val="center"/>
              <w:rPr>
                <w:rFonts w:cs="Times New Roman"/>
                <w:i/>
                <w:iCs/>
                <w:sz w:val="20"/>
                <w:szCs w:val="20"/>
                <w:lang w:val="ro-RO" w:eastAsia="ru-RU"/>
              </w:rPr>
            </w:pPr>
            <w:r w:rsidRPr="001004AA">
              <w:rPr>
                <w:rFonts w:cs="Times New Roman"/>
                <w:i/>
                <w:iCs/>
                <w:sz w:val="20"/>
                <w:szCs w:val="20"/>
                <w:lang w:val="ro-RO" w:eastAsia="ru-RU"/>
              </w:rPr>
              <w:t>0</w:t>
            </w:r>
          </w:p>
        </w:tc>
        <w:tc>
          <w:tcPr>
            <w:tcW w:w="538" w:type="pct"/>
            <w:vAlign w:val="center"/>
          </w:tcPr>
          <w:p w14:paraId="706E3388" w14:textId="7A33B425"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4EBBD93F" w14:textId="7688D3D6"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178A3502" w14:textId="1CBC8A83"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2C204F84" w14:textId="1A572895"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6E9740DC" w14:textId="0B665A84"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50051" w:rsidRPr="005B7C9A" w14:paraId="75A55973" w14:textId="77777777" w:rsidTr="006D25BE">
        <w:trPr>
          <w:trHeight w:val="53"/>
        </w:trPr>
        <w:tc>
          <w:tcPr>
            <w:tcW w:w="1552" w:type="pct"/>
            <w:shd w:val="clear" w:color="auto" w:fill="FFFFFF"/>
            <w:vAlign w:val="center"/>
          </w:tcPr>
          <w:p w14:paraId="269D8403" w14:textId="69367AEB" w:rsidR="00650051" w:rsidRPr="005921C0" w:rsidRDefault="00650051" w:rsidP="00650051">
            <w:pPr>
              <w:spacing w:after="0"/>
              <w:jc w:val="both"/>
              <w:rPr>
                <w:rFonts w:cs="Times New Roman"/>
                <w:i/>
                <w:iCs/>
                <w:sz w:val="20"/>
                <w:szCs w:val="20"/>
                <w:lang w:val="ro-RO" w:eastAsia="ru-RU"/>
              </w:rPr>
            </w:pPr>
            <w:r>
              <w:rPr>
                <w:rFonts w:cs="Times New Roman"/>
                <w:i/>
                <w:iCs/>
                <w:sz w:val="20"/>
                <w:szCs w:val="20"/>
                <w:lang w:val="ro-RO" w:eastAsia="ru-RU"/>
              </w:rPr>
              <w:lastRenderedPageBreak/>
              <w:t>Costuri neacoperite (mii lei)</w:t>
            </w:r>
          </w:p>
        </w:tc>
        <w:tc>
          <w:tcPr>
            <w:tcW w:w="655" w:type="pct"/>
            <w:vAlign w:val="center"/>
          </w:tcPr>
          <w:p w14:paraId="03DE3159" w14:textId="57FAB3FC" w:rsidR="00650051" w:rsidRPr="001004AA" w:rsidRDefault="00311244" w:rsidP="00650051">
            <w:pPr>
              <w:spacing w:after="0"/>
              <w:jc w:val="center"/>
              <w:rPr>
                <w:rFonts w:cs="Times New Roman"/>
                <w:i/>
                <w:iCs/>
                <w:sz w:val="20"/>
                <w:szCs w:val="20"/>
                <w:lang w:val="ro-RO" w:eastAsia="ru-RU"/>
              </w:rPr>
            </w:pPr>
            <w:r w:rsidRPr="001004AA">
              <w:rPr>
                <w:rFonts w:cs="Times New Roman"/>
                <w:i/>
                <w:iCs/>
                <w:sz w:val="20"/>
                <w:szCs w:val="20"/>
                <w:lang w:val="ro-RO" w:eastAsia="ru-RU"/>
              </w:rPr>
              <w:t>0</w:t>
            </w:r>
          </w:p>
        </w:tc>
        <w:tc>
          <w:tcPr>
            <w:tcW w:w="538" w:type="pct"/>
            <w:vAlign w:val="center"/>
          </w:tcPr>
          <w:p w14:paraId="7E17D707" w14:textId="2C92F5F0"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73A1347B" w14:textId="7CD79C01"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0A674627" w14:textId="081A87C7"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36FAF633" w14:textId="71C12937"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54C3C690" w14:textId="70AB2BED" w:rsidR="00650051" w:rsidRPr="001004AA" w:rsidRDefault="001004AA"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D25BE" w:rsidRPr="005B7C9A" w14:paraId="2810F89B" w14:textId="1C4E00FD" w:rsidTr="007B5270">
        <w:trPr>
          <w:trHeight w:val="406"/>
        </w:trPr>
        <w:tc>
          <w:tcPr>
            <w:tcW w:w="1552" w:type="pct"/>
            <w:shd w:val="clear" w:color="auto" w:fill="00B0F0"/>
            <w:vAlign w:val="center"/>
          </w:tcPr>
          <w:p w14:paraId="58B7F271" w14:textId="2CB0FD50" w:rsidR="005921C0" w:rsidRPr="005921C0" w:rsidRDefault="005921C0" w:rsidP="005921C0">
            <w:pPr>
              <w:spacing w:after="0"/>
              <w:jc w:val="both"/>
              <w:rPr>
                <w:rFonts w:cs="Times New Roman"/>
                <w:sz w:val="20"/>
                <w:szCs w:val="20"/>
                <w:lang w:val="ro-RO" w:eastAsia="ru-RU"/>
              </w:rPr>
            </w:pPr>
            <w:r w:rsidRPr="005921C0">
              <w:rPr>
                <w:rFonts w:eastAsia="Calibri" w:cs="Times New Roman"/>
                <w:b/>
                <w:bCs/>
                <w:sz w:val="20"/>
                <w:szCs w:val="20"/>
                <w:lang w:val="ro-RO" w:eastAsia="ru-RU"/>
              </w:rPr>
              <w:t>2.1</w:t>
            </w:r>
            <w:r w:rsidRPr="005921C0">
              <w:rPr>
                <w:rFonts w:eastAsia="Calibri" w:cs="Times New Roman"/>
                <w:bCs/>
                <w:sz w:val="20"/>
                <w:szCs w:val="20"/>
                <w:lang w:val="ro-RO" w:eastAsia="ru-RU"/>
              </w:rPr>
              <w:t xml:space="preserve"> Condițiile de prestare a serviciilor de ordine și securitate publică aliniate la standardele drepturilor omului până în anul 2030</w:t>
            </w:r>
          </w:p>
        </w:tc>
        <w:tc>
          <w:tcPr>
            <w:tcW w:w="655" w:type="pct"/>
            <w:shd w:val="clear" w:color="auto" w:fill="00B0F0"/>
            <w:vAlign w:val="center"/>
          </w:tcPr>
          <w:p w14:paraId="23DCC819" w14:textId="238CF355" w:rsidR="005921C0" w:rsidRPr="00311244" w:rsidRDefault="005921C0" w:rsidP="005921C0">
            <w:pPr>
              <w:spacing w:after="0"/>
              <w:jc w:val="center"/>
              <w:rPr>
                <w:rFonts w:cs="Times New Roman"/>
                <w:sz w:val="20"/>
                <w:szCs w:val="20"/>
                <w:lang w:val="ro-RO" w:eastAsia="ru-RU"/>
              </w:rPr>
            </w:pPr>
            <w:r w:rsidRPr="005921C0">
              <w:rPr>
                <w:rFonts w:cs="Times New Roman"/>
                <w:bCs/>
                <w:sz w:val="20"/>
                <w:szCs w:val="20"/>
              </w:rPr>
              <w:t>35</w:t>
            </w:r>
            <w:r w:rsidR="00311244">
              <w:rPr>
                <w:rFonts w:cs="Times New Roman"/>
                <w:bCs/>
                <w:sz w:val="20"/>
                <w:szCs w:val="20"/>
                <w:lang w:val="ro-RO"/>
              </w:rPr>
              <w:t>2</w:t>
            </w:r>
            <w:r w:rsidRPr="005921C0">
              <w:rPr>
                <w:rFonts w:cs="Times New Roman"/>
                <w:bCs/>
                <w:sz w:val="20"/>
                <w:szCs w:val="20"/>
              </w:rPr>
              <w:t>.</w:t>
            </w:r>
            <w:r w:rsidR="00311244">
              <w:rPr>
                <w:rFonts w:cs="Times New Roman"/>
                <w:bCs/>
                <w:sz w:val="20"/>
                <w:szCs w:val="20"/>
                <w:lang w:val="ro-RO"/>
              </w:rPr>
              <w:t>002</w:t>
            </w:r>
            <w:r w:rsidRPr="005921C0">
              <w:rPr>
                <w:rFonts w:cs="Times New Roman"/>
                <w:bCs/>
                <w:sz w:val="20"/>
                <w:szCs w:val="20"/>
              </w:rPr>
              <w:t>,</w:t>
            </w:r>
            <w:r w:rsidR="00311244">
              <w:rPr>
                <w:rFonts w:cs="Times New Roman"/>
                <w:bCs/>
                <w:sz w:val="20"/>
                <w:szCs w:val="20"/>
                <w:lang w:val="ro-RO"/>
              </w:rPr>
              <w:t>3</w:t>
            </w:r>
          </w:p>
        </w:tc>
        <w:tc>
          <w:tcPr>
            <w:tcW w:w="538" w:type="pct"/>
            <w:shd w:val="clear" w:color="auto" w:fill="00B0F0"/>
            <w:vAlign w:val="center"/>
          </w:tcPr>
          <w:p w14:paraId="67F521E6" w14:textId="118BA7C4" w:rsidR="005921C0" w:rsidRPr="00105C6E" w:rsidRDefault="00311244" w:rsidP="005921C0">
            <w:pPr>
              <w:spacing w:after="0"/>
              <w:jc w:val="center"/>
              <w:rPr>
                <w:rFonts w:cs="Times New Roman"/>
                <w:sz w:val="20"/>
                <w:szCs w:val="20"/>
                <w:lang w:val="ro-RO" w:eastAsia="ru-RU"/>
              </w:rPr>
            </w:pPr>
            <w:r>
              <w:rPr>
                <w:rFonts w:cs="Times New Roman"/>
                <w:bCs/>
                <w:sz w:val="20"/>
                <w:szCs w:val="20"/>
                <w:lang w:val="ro-RO"/>
              </w:rPr>
              <w:t>89</w:t>
            </w:r>
            <w:r w:rsidR="005921C0" w:rsidRPr="005921C0">
              <w:rPr>
                <w:rFonts w:cs="Times New Roman"/>
                <w:bCs/>
                <w:sz w:val="20"/>
                <w:szCs w:val="20"/>
              </w:rPr>
              <w:t>.</w:t>
            </w:r>
            <w:r>
              <w:rPr>
                <w:rFonts w:cs="Times New Roman"/>
                <w:bCs/>
                <w:sz w:val="20"/>
                <w:szCs w:val="20"/>
                <w:lang w:val="ro-RO"/>
              </w:rPr>
              <w:t>887</w:t>
            </w:r>
            <w:r w:rsidR="005921C0" w:rsidRPr="005921C0">
              <w:rPr>
                <w:rFonts w:cs="Times New Roman"/>
                <w:bCs/>
                <w:sz w:val="20"/>
                <w:szCs w:val="20"/>
              </w:rPr>
              <w:t>,</w:t>
            </w:r>
            <w:r w:rsidR="00105C6E">
              <w:rPr>
                <w:rFonts w:cs="Times New Roman"/>
                <w:bCs/>
                <w:sz w:val="20"/>
                <w:szCs w:val="20"/>
                <w:lang w:val="ro-RO"/>
              </w:rPr>
              <w:t>3</w:t>
            </w:r>
          </w:p>
        </w:tc>
        <w:tc>
          <w:tcPr>
            <w:tcW w:w="596" w:type="pct"/>
            <w:shd w:val="clear" w:color="auto" w:fill="00B0F0"/>
            <w:vAlign w:val="center"/>
          </w:tcPr>
          <w:p w14:paraId="422264F3" w14:textId="3BCDD684" w:rsidR="005921C0" w:rsidRPr="00311244" w:rsidRDefault="005921C0" w:rsidP="005921C0">
            <w:pPr>
              <w:spacing w:after="0"/>
              <w:jc w:val="center"/>
              <w:rPr>
                <w:rFonts w:cs="Times New Roman"/>
                <w:sz w:val="20"/>
                <w:szCs w:val="20"/>
                <w:lang w:val="ro-RO" w:eastAsia="ru-RU"/>
              </w:rPr>
            </w:pPr>
            <w:r w:rsidRPr="005921C0">
              <w:rPr>
                <w:rFonts w:cs="Times New Roman"/>
                <w:bCs/>
                <w:sz w:val="20"/>
                <w:szCs w:val="20"/>
              </w:rPr>
              <w:t>94.</w:t>
            </w:r>
            <w:r w:rsidR="00311244">
              <w:rPr>
                <w:rFonts w:cs="Times New Roman"/>
                <w:bCs/>
                <w:sz w:val="20"/>
                <w:szCs w:val="20"/>
                <w:lang w:val="ro-RO"/>
              </w:rPr>
              <w:t>290</w:t>
            </w:r>
            <w:r w:rsidRPr="005921C0">
              <w:rPr>
                <w:rFonts w:cs="Times New Roman"/>
                <w:bCs/>
                <w:sz w:val="20"/>
                <w:szCs w:val="20"/>
              </w:rPr>
              <w:t>,</w:t>
            </w:r>
            <w:r w:rsidR="00311244">
              <w:rPr>
                <w:rFonts w:cs="Times New Roman"/>
                <w:bCs/>
                <w:sz w:val="20"/>
                <w:szCs w:val="20"/>
                <w:lang w:val="ro-RO"/>
              </w:rPr>
              <w:t>9</w:t>
            </w:r>
          </w:p>
        </w:tc>
        <w:tc>
          <w:tcPr>
            <w:tcW w:w="557" w:type="pct"/>
            <w:shd w:val="clear" w:color="auto" w:fill="00B0F0"/>
            <w:vAlign w:val="center"/>
          </w:tcPr>
          <w:p w14:paraId="3C878370" w14:textId="339EFBC7" w:rsidR="005921C0" w:rsidRPr="00105C6E" w:rsidRDefault="005921C0" w:rsidP="005921C0">
            <w:pPr>
              <w:spacing w:after="0"/>
              <w:jc w:val="center"/>
              <w:rPr>
                <w:rFonts w:cs="Times New Roman"/>
                <w:sz w:val="20"/>
                <w:szCs w:val="20"/>
                <w:lang w:val="ro-RO" w:eastAsia="ru-RU"/>
              </w:rPr>
            </w:pPr>
            <w:r w:rsidRPr="005921C0">
              <w:rPr>
                <w:rFonts w:cs="Times New Roman"/>
                <w:bCs/>
                <w:sz w:val="20"/>
                <w:szCs w:val="20"/>
              </w:rPr>
              <w:t>74.396,</w:t>
            </w:r>
            <w:r w:rsidR="00105C6E">
              <w:rPr>
                <w:rFonts w:cs="Times New Roman"/>
                <w:bCs/>
                <w:sz w:val="20"/>
                <w:szCs w:val="20"/>
                <w:lang w:val="ro-RO"/>
              </w:rPr>
              <w:t>3</w:t>
            </w:r>
          </w:p>
        </w:tc>
        <w:tc>
          <w:tcPr>
            <w:tcW w:w="551" w:type="pct"/>
            <w:shd w:val="clear" w:color="auto" w:fill="00B0F0"/>
            <w:vAlign w:val="center"/>
          </w:tcPr>
          <w:p w14:paraId="35CA2C44" w14:textId="13295621" w:rsidR="005921C0" w:rsidRPr="005921C0" w:rsidRDefault="00311244" w:rsidP="005921C0">
            <w:pPr>
              <w:spacing w:after="0"/>
              <w:jc w:val="center"/>
              <w:rPr>
                <w:rFonts w:cs="Times New Roman"/>
                <w:sz w:val="20"/>
                <w:szCs w:val="20"/>
                <w:lang w:val="ro-RO" w:eastAsia="ru-RU"/>
              </w:rPr>
            </w:pPr>
            <w:r>
              <w:rPr>
                <w:rFonts w:cs="Times New Roman"/>
                <w:bCs/>
                <w:sz w:val="20"/>
                <w:szCs w:val="20"/>
                <w:lang w:val="ro-RO"/>
              </w:rPr>
              <w:t>86</w:t>
            </w:r>
            <w:r w:rsidR="005921C0" w:rsidRPr="005921C0">
              <w:rPr>
                <w:rFonts w:cs="Times New Roman"/>
                <w:bCs/>
                <w:sz w:val="20"/>
                <w:szCs w:val="20"/>
              </w:rPr>
              <w:t>.</w:t>
            </w:r>
            <w:r>
              <w:rPr>
                <w:rFonts w:cs="Times New Roman"/>
                <w:bCs/>
                <w:sz w:val="20"/>
                <w:szCs w:val="20"/>
                <w:lang w:val="ro-RO"/>
              </w:rPr>
              <w:t>603</w:t>
            </w:r>
            <w:r w:rsidR="005921C0" w:rsidRPr="005921C0">
              <w:rPr>
                <w:rFonts w:cs="Times New Roman"/>
                <w:bCs/>
                <w:sz w:val="20"/>
                <w:szCs w:val="20"/>
              </w:rPr>
              <w:t>,0</w:t>
            </w:r>
          </w:p>
        </w:tc>
        <w:tc>
          <w:tcPr>
            <w:tcW w:w="551" w:type="pct"/>
            <w:shd w:val="clear" w:color="auto" w:fill="00B0F0"/>
            <w:vAlign w:val="center"/>
          </w:tcPr>
          <w:p w14:paraId="7788B908" w14:textId="6783F20E" w:rsidR="005921C0" w:rsidRPr="005921C0" w:rsidRDefault="005921C0" w:rsidP="005921C0">
            <w:pPr>
              <w:spacing w:after="0"/>
              <w:jc w:val="center"/>
              <w:rPr>
                <w:rFonts w:cs="Times New Roman"/>
                <w:sz w:val="20"/>
                <w:szCs w:val="20"/>
                <w:lang w:val="ro-RO" w:eastAsia="ru-RU"/>
              </w:rPr>
            </w:pPr>
            <w:r w:rsidRPr="005921C0">
              <w:rPr>
                <w:rFonts w:cs="Times New Roman"/>
                <w:bCs/>
                <w:sz w:val="20"/>
                <w:szCs w:val="20"/>
              </w:rPr>
              <w:t>6.825,0</w:t>
            </w:r>
          </w:p>
        </w:tc>
      </w:tr>
      <w:tr w:rsidR="00650051" w:rsidRPr="005B7C9A" w14:paraId="51C041DF" w14:textId="532F6C6B" w:rsidTr="006D25BE">
        <w:trPr>
          <w:trHeight w:val="53"/>
        </w:trPr>
        <w:tc>
          <w:tcPr>
            <w:tcW w:w="1552" w:type="pct"/>
            <w:shd w:val="clear" w:color="auto" w:fill="FFFFFF"/>
            <w:vAlign w:val="center"/>
          </w:tcPr>
          <w:p w14:paraId="2E1E2C39" w14:textId="69BF6BAA"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56935F59" w14:textId="33EEB1CF"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332.546,</w:t>
            </w:r>
            <w:r w:rsidR="000967AC">
              <w:rPr>
                <w:rFonts w:cs="Times New Roman"/>
                <w:i/>
                <w:iCs/>
                <w:sz w:val="20"/>
                <w:szCs w:val="20"/>
                <w:lang w:val="ro-RO" w:eastAsia="ru-RU"/>
              </w:rPr>
              <w:t>3</w:t>
            </w:r>
          </w:p>
        </w:tc>
        <w:tc>
          <w:tcPr>
            <w:tcW w:w="538" w:type="pct"/>
            <w:vAlign w:val="center"/>
          </w:tcPr>
          <w:p w14:paraId="6EBDAE99" w14:textId="2CE966B2"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89.467,3</w:t>
            </w:r>
          </w:p>
        </w:tc>
        <w:tc>
          <w:tcPr>
            <w:tcW w:w="596" w:type="pct"/>
            <w:vAlign w:val="center"/>
          </w:tcPr>
          <w:p w14:paraId="7DE0188B" w14:textId="73F0AABE"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93.570,9</w:t>
            </w:r>
          </w:p>
        </w:tc>
        <w:tc>
          <w:tcPr>
            <w:tcW w:w="557" w:type="pct"/>
            <w:vAlign w:val="center"/>
          </w:tcPr>
          <w:p w14:paraId="191A7B2B" w14:textId="0AD7B02B"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67.825,1</w:t>
            </w:r>
          </w:p>
        </w:tc>
        <w:tc>
          <w:tcPr>
            <w:tcW w:w="551" w:type="pct"/>
            <w:vAlign w:val="center"/>
          </w:tcPr>
          <w:p w14:paraId="27F3DF0A" w14:textId="7D22694D"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81.683,0</w:t>
            </w:r>
          </w:p>
        </w:tc>
        <w:tc>
          <w:tcPr>
            <w:tcW w:w="551" w:type="pct"/>
          </w:tcPr>
          <w:p w14:paraId="5D5F1485" w14:textId="2C2EAD14"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650051" w:rsidRPr="005B7C9A" w14:paraId="75509EE8" w14:textId="23A30F61" w:rsidTr="006D25BE">
        <w:trPr>
          <w:trHeight w:val="53"/>
        </w:trPr>
        <w:tc>
          <w:tcPr>
            <w:tcW w:w="1552" w:type="pct"/>
            <w:shd w:val="clear" w:color="auto" w:fill="FFFFFF"/>
            <w:vAlign w:val="center"/>
          </w:tcPr>
          <w:p w14:paraId="57ABED8A" w14:textId="5C2C69E2"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79C4A5B0" w14:textId="77753B36"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1</w:t>
            </w:r>
            <w:r w:rsidR="000967AC">
              <w:rPr>
                <w:rFonts w:cs="Times New Roman"/>
                <w:i/>
                <w:iCs/>
                <w:sz w:val="20"/>
                <w:szCs w:val="20"/>
                <w:lang w:val="ro-RO" w:eastAsia="ru-RU"/>
              </w:rPr>
              <w:t>6</w:t>
            </w:r>
            <w:r>
              <w:rPr>
                <w:rFonts w:cs="Times New Roman"/>
                <w:i/>
                <w:iCs/>
                <w:sz w:val="20"/>
                <w:szCs w:val="20"/>
                <w:lang w:val="ro-RO" w:eastAsia="ru-RU"/>
              </w:rPr>
              <w:t>.</w:t>
            </w:r>
            <w:r w:rsidR="000967AC">
              <w:rPr>
                <w:rFonts w:cs="Times New Roman"/>
                <w:i/>
                <w:iCs/>
                <w:sz w:val="20"/>
                <w:szCs w:val="20"/>
                <w:lang w:val="ro-RO" w:eastAsia="ru-RU"/>
              </w:rPr>
              <w:t>740</w:t>
            </w:r>
            <w:r>
              <w:rPr>
                <w:rFonts w:cs="Times New Roman"/>
                <w:i/>
                <w:iCs/>
                <w:sz w:val="20"/>
                <w:szCs w:val="20"/>
                <w:lang w:val="ro-RO" w:eastAsia="ru-RU"/>
              </w:rPr>
              <w:t>,</w:t>
            </w:r>
            <w:r w:rsidR="000967AC">
              <w:rPr>
                <w:rFonts w:cs="Times New Roman"/>
                <w:i/>
                <w:iCs/>
                <w:sz w:val="20"/>
                <w:szCs w:val="20"/>
                <w:lang w:val="ro-RO" w:eastAsia="ru-RU"/>
              </w:rPr>
              <w:t>0</w:t>
            </w:r>
          </w:p>
        </w:tc>
        <w:tc>
          <w:tcPr>
            <w:tcW w:w="538" w:type="pct"/>
            <w:vAlign w:val="center"/>
          </w:tcPr>
          <w:p w14:paraId="081559FC" w14:textId="2640CAA9"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420,0</w:t>
            </w:r>
          </w:p>
        </w:tc>
        <w:tc>
          <w:tcPr>
            <w:tcW w:w="596" w:type="pct"/>
            <w:vAlign w:val="center"/>
          </w:tcPr>
          <w:p w14:paraId="3629D491" w14:textId="33EAD69D"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720,0</w:t>
            </w:r>
          </w:p>
        </w:tc>
        <w:tc>
          <w:tcPr>
            <w:tcW w:w="557" w:type="pct"/>
            <w:vAlign w:val="center"/>
          </w:tcPr>
          <w:p w14:paraId="7DCC851B" w14:textId="5895A216"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6.060,0</w:t>
            </w:r>
          </w:p>
        </w:tc>
        <w:tc>
          <w:tcPr>
            <w:tcW w:w="551" w:type="pct"/>
            <w:vAlign w:val="center"/>
          </w:tcPr>
          <w:p w14:paraId="2A1B531F" w14:textId="757B7A7A"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4.920,0</w:t>
            </w:r>
          </w:p>
        </w:tc>
        <w:tc>
          <w:tcPr>
            <w:tcW w:w="551" w:type="pct"/>
          </w:tcPr>
          <w:p w14:paraId="4191C6A4" w14:textId="4D03A44D" w:rsidR="00650051" w:rsidRPr="005921C0" w:rsidRDefault="00927541" w:rsidP="00650051">
            <w:pPr>
              <w:spacing w:after="0"/>
              <w:jc w:val="center"/>
              <w:rPr>
                <w:rFonts w:cs="Times New Roman"/>
                <w:i/>
                <w:iCs/>
                <w:sz w:val="20"/>
                <w:szCs w:val="20"/>
                <w:lang w:val="ro-RO" w:eastAsia="ru-RU"/>
              </w:rPr>
            </w:pPr>
            <w:r>
              <w:rPr>
                <w:rFonts w:cs="Times New Roman"/>
                <w:i/>
                <w:iCs/>
                <w:sz w:val="20"/>
                <w:szCs w:val="20"/>
                <w:lang w:val="ro-RO" w:eastAsia="ru-RU"/>
              </w:rPr>
              <w:t>4.620,0</w:t>
            </w:r>
          </w:p>
        </w:tc>
      </w:tr>
      <w:tr w:rsidR="00650051" w:rsidRPr="005B7C9A" w14:paraId="6BBC684D" w14:textId="77777777" w:rsidTr="006D25BE">
        <w:trPr>
          <w:trHeight w:val="53"/>
        </w:trPr>
        <w:tc>
          <w:tcPr>
            <w:tcW w:w="1552" w:type="pct"/>
            <w:shd w:val="clear" w:color="auto" w:fill="FFFFFF"/>
            <w:vAlign w:val="center"/>
          </w:tcPr>
          <w:p w14:paraId="3C72D08A" w14:textId="2EE6EA6E" w:rsidR="00650051" w:rsidRPr="005921C0" w:rsidRDefault="00650051" w:rsidP="00650051">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vAlign w:val="center"/>
          </w:tcPr>
          <w:p w14:paraId="1BB71474" w14:textId="7D5278A9" w:rsidR="00650051" w:rsidRPr="005921C0" w:rsidRDefault="00311244" w:rsidP="00650051">
            <w:pPr>
              <w:spacing w:after="0"/>
              <w:jc w:val="center"/>
              <w:rPr>
                <w:rFonts w:cs="Times New Roman"/>
                <w:i/>
                <w:iCs/>
                <w:sz w:val="20"/>
                <w:szCs w:val="20"/>
                <w:lang w:val="ro-RO" w:eastAsia="ru-RU"/>
              </w:rPr>
            </w:pPr>
            <w:r>
              <w:rPr>
                <w:rFonts w:cs="Times New Roman"/>
                <w:i/>
                <w:iCs/>
                <w:sz w:val="20"/>
                <w:szCs w:val="20"/>
                <w:lang w:val="ro-RO" w:eastAsia="ru-RU"/>
              </w:rPr>
              <w:t>2.</w:t>
            </w:r>
            <w:r w:rsidR="0017465C">
              <w:rPr>
                <w:rFonts w:cs="Times New Roman"/>
                <w:i/>
                <w:iCs/>
                <w:sz w:val="20"/>
                <w:szCs w:val="20"/>
                <w:lang w:val="ro-RO" w:eastAsia="ru-RU"/>
              </w:rPr>
              <w:t>716</w:t>
            </w:r>
            <w:r>
              <w:rPr>
                <w:rFonts w:cs="Times New Roman"/>
                <w:i/>
                <w:iCs/>
                <w:sz w:val="20"/>
                <w:szCs w:val="20"/>
                <w:lang w:val="ro-RO" w:eastAsia="ru-RU"/>
              </w:rPr>
              <w:t>,0</w:t>
            </w:r>
          </w:p>
        </w:tc>
        <w:tc>
          <w:tcPr>
            <w:tcW w:w="538" w:type="pct"/>
            <w:vAlign w:val="center"/>
          </w:tcPr>
          <w:p w14:paraId="59986335" w14:textId="448EAD7A" w:rsidR="00650051" w:rsidRPr="005921C0" w:rsidRDefault="00475D8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4622C384" w14:textId="30A1FBD6" w:rsidR="00650051" w:rsidRPr="005921C0" w:rsidRDefault="00475D8A"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3EB381EF" w14:textId="2B059C4C" w:rsidR="00650051" w:rsidRPr="005921C0" w:rsidRDefault="00475D8A" w:rsidP="00650051">
            <w:pPr>
              <w:spacing w:after="0"/>
              <w:jc w:val="center"/>
              <w:rPr>
                <w:rFonts w:cs="Times New Roman"/>
                <w:i/>
                <w:iCs/>
                <w:sz w:val="20"/>
                <w:szCs w:val="20"/>
                <w:lang w:val="ro-RO" w:eastAsia="ru-RU"/>
              </w:rPr>
            </w:pPr>
            <w:r>
              <w:rPr>
                <w:rFonts w:cs="Times New Roman"/>
                <w:i/>
                <w:iCs/>
                <w:sz w:val="20"/>
                <w:szCs w:val="20"/>
                <w:lang w:val="ro-RO" w:eastAsia="ru-RU"/>
              </w:rPr>
              <w:t>511,2</w:t>
            </w:r>
          </w:p>
        </w:tc>
        <w:tc>
          <w:tcPr>
            <w:tcW w:w="551" w:type="pct"/>
            <w:vAlign w:val="center"/>
          </w:tcPr>
          <w:p w14:paraId="078C85A5" w14:textId="5B069887" w:rsidR="00650051" w:rsidRPr="005921C0" w:rsidRDefault="00475D8A" w:rsidP="00650051">
            <w:pPr>
              <w:spacing w:after="0"/>
              <w:jc w:val="center"/>
              <w:rPr>
                <w:rFonts w:cs="Times New Roman"/>
                <w:i/>
                <w:iCs/>
                <w:sz w:val="20"/>
                <w:szCs w:val="20"/>
                <w:lang w:val="ro-RO" w:eastAsia="ru-RU"/>
              </w:rPr>
            </w:pPr>
            <w:r>
              <w:rPr>
                <w:rFonts w:cs="Times New Roman"/>
                <w:i/>
                <w:iCs/>
                <w:sz w:val="20"/>
                <w:szCs w:val="20"/>
                <w:lang w:val="ro-RO" w:eastAsia="ru-RU"/>
              </w:rPr>
              <w:t xml:space="preserve">0 </w:t>
            </w:r>
          </w:p>
        </w:tc>
        <w:tc>
          <w:tcPr>
            <w:tcW w:w="551" w:type="pct"/>
          </w:tcPr>
          <w:p w14:paraId="34EFB9EC" w14:textId="35B2D724" w:rsidR="00650051" w:rsidRPr="005921C0" w:rsidRDefault="00475D8A" w:rsidP="00650051">
            <w:pPr>
              <w:spacing w:after="0"/>
              <w:jc w:val="center"/>
              <w:rPr>
                <w:rFonts w:cs="Times New Roman"/>
                <w:i/>
                <w:iCs/>
                <w:sz w:val="20"/>
                <w:szCs w:val="20"/>
                <w:lang w:val="ro-RO" w:eastAsia="ru-RU"/>
              </w:rPr>
            </w:pPr>
            <w:r>
              <w:rPr>
                <w:rFonts w:cs="Times New Roman"/>
                <w:i/>
                <w:iCs/>
                <w:sz w:val="20"/>
                <w:szCs w:val="20"/>
                <w:lang w:val="ro-RO" w:eastAsia="ru-RU"/>
              </w:rPr>
              <w:t>2.205,0</w:t>
            </w:r>
          </w:p>
        </w:tc>
      </w:tr>
      <w:tr w:rsidR="006D25BE" w:rsidRPr="005B7C9A" w14:paraId="7EBB80BB" w14:textId="107E6995" w:rsidTr="007B5270">
        <w:trPr>
          <w:trHeight w:val="53"/>
        </w:trPr>
        <w:tc>
          <w:tcPr>
            <w:tcW w:w="1552" w:type="pct"/>
            <w:shd w:val="clear" w:color="auto" w:fill="00B0F0"/>
            <w:vAlign w:val="center"/>
          </w:tcPr>
          <w:p w14:paraId="30ED1189" w14:textId="5BEBEDFC" w:rsidR="005921C0" w:rsidRPr="005921C0" w:rsidRDefault="005921C0" w:rsidP="005921C0">
            <w:pPr>
              <w:spacing w:after="0"/>
              <w:jc w:val="both"/>
              <w:rPr>
                <w:rFonts w:cs="Times New Roman"/>
                <w:sz w:val="20"/>
                <w:szCs w:val="20"/>
                <w:lang w:val="ro-RO" w:eastAsia="ru-RU"/>
              </w:rPr>
            </w:pPr>
            <w:r w:rsidRPr="005921C0">
              <w:rPr>
                <w:rFonts w:cs="Times New Roman"/>
                <w:b/>
                <w:bCs/>
                <w:sz w:val="20"/>
                <w:szCs w:val="20"/>
                <w:lang w:val="ro-RO" w:eastAsia="ru-RU"/>
              </w:rPr>
              <w:t>2.2.</w:t>
            </w:r>
            <w:r w:rsidRPr="005921C0">
              <w:rPr>
                <w:rFonts w:cs="Times New Roman"/>
                <w:bCs/>
                <w:sz w:val="20"/>
                <w:szCs w:val="20"/>
                <w:lang w:val="ro-RO" w:eastAsia="ru-RU"/>
              </w:rPr>
              <w:t xml:space="preserve"> Capabilități integrate ale forțelor de ordine de intervenție la evenimente publice, dezvoltate cu respectarea drepturilor omului,</w:t>
            </w:r>
            <w:r w:rsidRPr="005921C0">
              <w:rPr>
                <w:rFonts w:eastAsia="Calibri" w:cs="Times New Roman"/>
                <w:bCs/>
                <w:sz w:val="20"/>
                <w:szCs w:val="20"/>
                <w:lang w:val="ro-RO" w:eastAsia="ru-RU"/>
              </w:rPr>
              <w:t xml:space="preserve"> până în anul 2030</w:t>
            </w:r>
          </w:p>
        </w:tc>
        <w:tc>
          <w:tcPr>
            <w:tcW w:w="655" w:type="pct"/>
            <w:shd w:val="clear" w:color="auto" w:fill="00B0F0"/>
            <w:vAlign w:val="center"/>
          </w:tcPr>
          <w:p w14:paraId="11C673F0" w14:textId="5770D72B" w:rsidR="005921C0" w:rsidRPr="00E25E1A" w:rsidRDefault="005921C0" w:rsidP="005921C0">
            <w:pPr>
              <w:spacing w:after="0"/>
              <w:jc w:val="center"/>
              <w:rPr>
                <w:rFonts w:cs="Times New Roman"/>
                <w:sz w:val="20"/>
                <w:szCs w:val="20"/>
                <w:lang w:val="ro-RO" w:eastAsia="ru-RU"/>
              </w:rPr>
            </w:pPr>
            <w:r w:rsidRPr="005921C0">
              <w:rPr>
                <w:rFonts w:cs="Times New Roman"/>
                <w:bCs/>
                <w:sz w:val="20"/>
                <w:szCs w:val="20"/>
              </w:rPr>
              <w:t>47.</w:t>
            </w:r>
            <w:r w:rsidR="00311244">
              <w:rPr>
                <w:rFonts w:cs="Times New Roman"/>
                <w:bCs/>
                <w:sz w:val="20"/>
                <w:szCs w:val="20"/>
                <w:lang w:val="ro-RO"/>
              </w:rPr>
              <w:t>236</w:t>
            </w:r>
            <w:r w:rsidRPr="005921C0">
              <w:rPr>
                <w:rFonts w:cs="Times New Roman"/>
                <w:bCs/>
                <w:sz w:val="20"/>
                <w:szCs w:val="20"/>
              </w:rPr>
              <w:t>,</w:t>
            </w:r>
            <w:r w:rsidR="00E25E1A">
              <w:rPr>
                <w:rFonts w:cs="Times New Roman"/>
                <w:bCs/>
                <w:sz w:val="20"/>
                <w:szCs w:val="20"/>
                <w:lang w:val="ro-RO"/>
              </w:rPr>
              <w:t>7</w:t>
            </w:r>
          </w:p>
        </w:tc>
        <w:tc>
          <w:tcPr>
            <w:tcW w:w="538" w:type="pct"/>
            <w:shd w:val="clear" w:color="auto" w:fill="00B0F0"/>
            <w:vAlign w:val="center"/>
          </w:tcPr>
          <w:p w14:paraId="055A7663" w14:textId="3B60D074" w:rsidR="005921C0" w:rsidRPr="005921C0" w:rsidRDefault="005921C0" w:rsidP="005921C0">
            <w:pPr>
              <w:spacing w:after="0"/>
              <w:jc w:val="center"/>
              <w:rPr>
                <w:rFonts w:cs="Times New Roman"/>
                <w:sz w:val="20"/>
                <w:szCs w:val="20"/>
                <w:lang w:val="ro-RO" w:eastAsia="ru-RU"/>
              </w:rPr>
            </w:pPr>
            <w:r w:rsidRPr="005921C0">
              <w:rPr>
                <w:rFonts w:cs="Times New Roman"/>
                <w:bCs/>
                <w:sz w:val="20"/>
                <w:szCs w:val="20"/>
              </w:rPr>
              <w:t>951,4</w:t>
            </w:r>
          </w:p>
        </w:tc>
        <w:tc>
          <w:tcPr>
            <w:tcW w:w="596" w:type="pct"/>
            <w:shd w:val="clear" w:color="auto" w:fill="00B0F0"/>
            <w:vAlign w:val="center"/>
          </w:tcPr>
          <w:p w14:paraId="7A7C7047" w14:textId="2742A92D" w:rsidR="005921C0" w:rsidRPr="00E25E1A" w:rsidRDefault="005921C0" w:rsidP="005921C0">
            <w:pPr>
              <w:spacing w:after="0"/>
              <w:jc w:val="center"/>
              <w:rPr>
                <w:rFonts w:cs="Times New Roman"/>
                <w:sz w:val="20"/>
                <w:szCs w:val="20"/>
                <w:lang w:val="ro-RO" w:eastAsia="ru-RU"/>
              </w:rPr>
            </w:pPr>
            <w:r w:rsidRPr="005921C0">
              <w:rPr>
                <w:rFonts w:cs="Times New Roman"/>
                <w:bCs/>
                <w:sz w:val="20"/>
                <w:szCs w:val="20"/>
              </w:rPr>
              <w:t>1.</w:t>
            </w:r>
            <w:r w:rsidR="00311244">
              <w:rPr>
                <w:rFonts w:cs="Times New Roman"/>
                <w:bCs/>
                <w:sz w:val="20"/>
                <w:szCs w:val="20"/>
                <w:lang w:val="ro-RO"/>
              </w:rPr>
              <w:t>567</w:t>
            </w:r>
            <w:r w:rsidRPr="005921C0">
              <w:rPr>
                <w:rFonts w:cs="Times New Roman"/>
                <w:bCs/>
                <w:sz w:val="20"/>
                <w:szCs w:val="20"/>
              </w:rPr>
              <w:t>,</w:t>
            </w:r>
            <w:r w:rsidR="00E25E1A">
              <w:rPr>
                <w:rFonts w:cs="Times New Roman"/>
                <w:bCs/>
                <w:sz w:val="20"/>
                <w:szCs w:val="20"/>
                <w:lang w:val="ro-RO"/>
              </w:rPr>
              <w:t>5</w:t>
            </w:r>
          </w:p>
        </w:tc>
        <w:tc>
          <w:tcPr>
            <w:tcW w:w="557" w:type="pct"/>
            <w:shd w:val="clear" w:color="auto" w:fill="00B0F0"/>
            <w:vAlign w:val="center"/>
          </w:tcPr>
          <w:p w14:paraId="12EC5C77" w14:textId="4F119546" w:rsidR="005921C0" w:rsidRPr="005921C0" w:rsidRDefault="005921C0" w:rsidP="005921C0">
            <w:pPr>
              <w:spacing w:after="0"/>
              <w:jc w:val="center"/>
              <w:rPr>
                <w:rFonts w:cs="Times New Roman"/>
                <w:sz w:val="20"/>
                <w:szCs w:val="20"/>
                <w:lang w:val="ro-RO" w:eastAsia="ru-RU"/>
              </w:rPr>
            </w:pPr>
            <w:r w:rsidRPr="005921C0">
              <w:rPr>
                <w:rFonts w:cs="Times New Roman"/>
                <w:bCs/>
                <w:sz w:val="20"/>
                <w:szCs w:val="20"/>
              </w:rPr>
              <w:t>22.667,7</w:t>
            </w:r>
          </w:p>
        </w:tc>
        <w:tc>
          <w:tcPr>
            <w:tcW w:w="551" w:type="pct"/>
            <w:shd w:val="clear" w:color="auto" w:fill="00B0F0"/>
            <w:vAlign w:val="center"/>
          </w:tcPr>
          <w:p w14:paraId="10A400B3" w14:textId="709890D8" w:rsidR="005921C0" w:rsidRPr="005921C0" w:rsidRDefault="005921C0" w:rsidP="005921C0">
            <w:pPr>
              <w:spacing w:after="0"/>
              <w:jc w:val="center"/>
              <w:rPr>
                <w:rFonts w:cs="Times New Roman"/>
                <w:sz w:val="20"/>
                <w:szCs w:val="20"/>
                <w:lang w:val="ro-RO" w:eastAsia="ru-RU"/>
              </w:rPr>
            </w:pPr>
            <w:r w:rsidRPr="005921C0">
              <w:rPr>
                <w:rFonts w:cs="Times New Roman"/>
                <w:bCs/>
                <w:sz w:val="20"/>
                <w:szCs w:val="20"/>
              </w:rPr>
              <w:t>22.050,0</w:t>
            </w:r>
          </w:p>
        </w:tc>
        <w:tc>
          <w:tcPr>
            <w:tcW w:w="551" w:type="pct"/>
            <w:shd w:val="clear" w:color="auto" w:fill="00B0F0"/>
            <w:vAlign w:val="center"/>
          </w:tcPr>
          <w:p w14:paraId="5CA53119" w14:textId="596DEFA9" w:rsidR="005921C0" w:rsidRPr="005921C0" w:rsidRDefault="004122F9" w:rsidP="005921C0">
            <w:pPr>
              <w:spacing w:after="0"/>
              <w:jc w:val="center"/>
              <w:rPr>
                <w:rFonts w:cs="Times New Roman"/>
                <w:sz w:val="20"/>
                <w:szCs w:val="20"/>
                <w:lang w:val="ro-RO" w:eastAsia="ru-RU"/>
              </w:rPr>
            </w:pPr>
            <w:r>
              <w:rPr>
                <w:rFonts w:cs="Times New Roman"/>
                <w:sz w:val="20"/>
                <w:szCs w:val="20"/>
                <w:lang w:val="ro-RO" w:eastAsia="ru-RU"/>
              </w:rPr>
              <w:t>0</w:t>
            </w:r>
          </w:p>
        </w:tc>
      </w:tr>
      <w:tr w:rsidR="00650051" w:rsidRPr="005B7C9A" w14:paraId="45F06C63" w14:textId="48598038" w:rsidTr="006D25BE">
        <w:trPr>
          <w:trHeight w:val="53"/>
        </w:trPr>
        <w:tc>
          <w:tcPr>
            <w:tcW w:w="1552" w:type="pct"/>
            <w:shd w:val="clear" w:color="auto" w:fill="FFFFFF"/>
            <w:vAlign w:val="center"/>
          </w:tcPr>
          <w:p w14:paraId="7A467E7D" w14:textId="0E4EEEB7"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7D6F8BA6" w14:textId="758B6968" w:rsidR="00650051" w:rsidRPr="007B5270" w:rsidRDefault="003E2AF0" w:rsidP="00650051">
            <w:pPr>
              <w:spacing w:after="0"/>
              <w:jc w:val="center"/>
              <w:rPr>
                <w:rFonts w:cs="Times New Roman"/>
                <w:i/>
                <w:iCs/>
                <w:sz w:val="20"/>
                <w:szCs w:val="20"/>
                <w:lang w:val="ro-RO" w:eastAsia="ru-RU"/>
              </w:rPr>
            </w:pPr>
            <w:r w:rsidRPr="007B5270">
              <w:rPr>
                <w:rFonts w:cs="Times New Roman"/>
                <w:i/>
                <w:iCs/>
                <w:sz w:val="20"/>
                <w:szCs w:val="20"/>
                <w:lang w:val="ro-RO" w:eastAsia="ru-RU"/>
              </w:rPr>
              <w:t>46.501,</w:t>
            </w:r>
            <w:r w:rsidR="00E25E1A">
              <w:rPr>
                <w:rFonts w:cs="Times New Roman"/>
                <w:i/>
                <w:iCs/>
                <w:sz w:val="20"/>
                <w:szCs w:val="20"/>
                <w:lang w:val="ro-RO" w:eastAsia="ru-RU"/>
              </w:rPr>
              <w:t>7</w:t>
            </w:r>
          </w:p>
        </w:tc>
        <w:tc>
          <w:tcPr>
            <w:tcW w:w="538" w:type="pct"/>
            <w:vAlign w:val="center"/>
          </w:tcPr>
          <w:p w14:paraId="3B4D6474" w14:textId="59F13836" w:rsidR="00650051" w:rsidRPr="007B5270" w:rsidRDefault="007B5270" w:rsidP="00650051">
            <w:pPr>
              <w:spacing w:after="0"/>
              <w:jc w:val="center"/>
              <w:rPr>
                <w:rFonts w:cs="Times New Roman"/>
                <w:i/>
                <w:iCs/>
                <w:sz w:val="20"/>
                <w:szCs w:val="20"/>
                <w:lang w:val="ro-RO" w:eastAsia="ru-RU"/>
              </w:rPr>
            </w:pPr>
            <w:r w:rsidRPr="007B5270">
              <w:rPr>
                <w:rFonts w:cs="Times New Roman"/>
                <w:i/>
                <w:iCs/>
                <w:sz w:val="20"/>
                <w:szCs w:val="20"/>
                <w:lang w:val="ro-RO" w:eastAsia="ru-RU"/>
              </w:rPr>
              <w:t>951,5</w:t>
            </w:r>
          </w:p>
        </w:tc>
        <w:tc>
          <w:tcPr>
            <w:tcW w:w="596" w:type="pct"/>
            <w:vAlign w:val="center"/>
          </w:tcPr>
          <w:p w14:paraId="23138771" w14:textId="2E8E2AD8" w:rsidR="00650051" w:rsidRPr="007B5270" w:rsidRDefault="007B5270" w:rsidP="00650051">
            <w:pPr>
              <w:spacing w:after="0"/>
              <w:jc w:val="center"/>
              <w:rPr>
                <w:rFonts w:cs="Times New Roman"/>
                <w:i/>
                <w:iCs/>
                <w:sz w:val="20"/>
                <w:szCs w:val="20"/>
                <w:lang w:val="ro-RO" w:eastAsia="ru-RU"/>
              </w:rPr>
            </w:pPr>
            <w:r w:rsidRPr="007B5270">
              <w:rPr>
                <w:rFonts w:cs="Times New Roman"/>
                <w:i/>
                <w:iCs/>
                <w:sz w:val="20"/>
                <w:szCs w:val="20"/>
                <w:lang w:val="ro-RO" w:eastAsia="ru-RU"/>
              </w:rPr>
              <w:t>882,9</w:t>
            </w:r>
          </w:p>
        </w:tc>
        <w:tc>
          <w:tcPr>
            <w:tcW w:w="557" w:type="pct"/>
            <w:vAlign w:val="center"/>
          </w:tcPr>
          <w:p w14:paraId="3F3FB099" w14:textId="67C1577E" w:rsidR="00650051" w:rsidRPr="007B5270" w:rsidRDefault="007B5270" w:rsidP="00650051">
            <w:pPr>
              <w:spacing w:after="0"/>
              <w:jc w:val="center"/>
              <w:rPr>
                <w:rFonts w:cs="Times New Roman"/>
                <w:i/>
                <w:iCs/>
                <w:sz w:val="20"/>
                <w:szCs w:val="20"/>
                <w:lang w:val="ro-RO" w:eastAsia="ru-RU"/>
              </w:rPr>
            </w:pPr>
            <w:r w:rsidRPr="007B5270">
              <w:rPr>
                <w:rFonts w:cs="Times New Roman"/>
                <w:i/>
                <w:iCs/>
                <w:sz w:val="20"/>
                <w:szCs w:val="20"/>
                <w:lang w:val="ro-RO" w:eastAsia="ru-RU"/>
              </w:rPr>
              <w:t>22.617,3</w:t>
            </w:r>
          </w:p>
        </w:tc>
        <w:tc>
          <w:tcPr>
            <w:tcW w:w="551" w:type="pct"/>
            <w:vAlign w:val="center"/>
          </w:tcPr>
          <w:p w14:paraId="0966C06B" w14:textId="1470D76F" w:rsidR="00650051" w:rsidRPr="007B5270" w:rsidRDefault="007B5270" w:rsidP="00650051">
            <w:pPr>
              <w:spacing w:after="0"/>
              <w:jc w:val="center"/>
              <w:rPr>
                <w:rFonts w:cs="Times New Roman"/>
                <w:i/>
                <w:iCs/>
                <w:sz w:val="20"/>
                <w:szCs w:val="20"/>
                <w:lang w:val="ro-RO" w:eastAsia="ru-RU"/>
              </w:rPr>
            </w:pPr>
            <w:r w:rsidRPr="007B5270">
              <w:rPr>
                <w:rFonts w:cs="Times New Roman"/>
                <w:i/>
                <w:iCs/>
                <w:sz w:val="20"/>
                <w:szCs w:val="20"/>
                <w:lang w:val="ro-RO" w:eastAsia="ru-RU"/>
              </w:rPr>
              <w:t>22.050,0</w:t>
            </w:r>
          </w:p>
        </w:tc>
        <w:tc>
          <w:tcPr>
            <w:tcW w:w="551" w:type="pct"/>
          </w:tcPr>
          <w:p w14:paraId="2C98D304" w14:textId="4805827C" w:rsidR="00650051" w:rsidRPr="007B5270" w:rsidRDefault="007B5270" w:rsidP="00650051">
            <w:pPr>
              <w:spacing w:after="0"/>
              <w:jc w:val="center"/>
              <w:rPr>
                <w:rFonts w:cs="Times New Roman"/>
                <w:i/>
                <w:iCs/>
                <w:sz w:val="20"/>
                <w:szCs w:val="20"/>
                <w:lang w:val="ro-RO" w:eastAsia="ru-RU"/>
              </w:rPr>
            </w:pPr>
            <w:r w:rsidRPr="007B5270">
              <w:rPr>
                <w:rFonts w:cs="Times New Roman"/>
                <w:i/>
                <w:iCs/>
                <w:sz w:val="20"/>
                <w:szCs w:val="20"/>
                <w:lang w:val="ro-RO" w:eastAsia="ru-RU"/>
              </w:rPr>
              <w:t>0</w:t>
            </w:r>
          </w:p>
        </w:tc>
      </w:tr>
      <w:tr w:rsidR="00650051" w:rsidRPr="005B7C9A" w14:paraId="25DAD50B" w14:textId="77777777" w:rsidTr="006D25BE">
        <w:trPr>
          <w:trHeight w:val="53"/>
        </w:trPr>
        <w:tc>
          <w:tcPr>
            <w:tcW w:w="1552" w:type="pct"/>
            <w:shd w:val="clear" w:color="auto" w:fill="FFFFFF"/>
            <w:vAlign w:val="center"/>
          </w:tcPr>
          <w:p w14:paraId="0C464761" w14:textId="0528A818" w:rsidR="00650051" w:rsidRPr="005921C0" w:rsidRDefault="00650051" w:rsidP="00650051">
            <w:pPr>
              <w:spacing w:after="0"/>
              <w:rPr>
                <w:rFonts w:cs="Times New Roman"/>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7F2CFD4C" w14:textId="1FA43112" w:rsidR="00650051" w:rsidRPr="007B5270" w:rsidRDefault="003E2AF0" w:rsidP="00650051">
            <w:pPr>
              <w:spacing w:after="0"/>
              <w:jc w:val="center"/>
              <w:rPr>
                <w:rFonts w:cs="Times New Roman"/>
                <w:i/>
                <w:iCs/>
                <w:sz w:val="20"/>
                <w:szCs w:val="20"/>
                <w:lang w:val="ro-RO" w:eastAsia="ru-RU"/>
              </w:rPr>
            </w:pPr>
            <w:r w:rsidRPr="007B5270">
              <w:rPr>
                <w:rFonts w:cs="Times New Roman"/>
                <w:i/>
                <w:iCs/>
                <w:sz w:val="20"/>
                <w:szCs w:val="20"/>
                <w:lang w:val="ro-RO" w:eastAsia="ru-RU"/>
              </w:rPr>
              <w:t>0</w:t>
            </w:r>
          </w:p>
        </w:tc>
        <w:tc>
          <w:tcPr>
            <w:tcW w:w="538" w:type="pct"/>
            <w:vAlign w:val="center"/>
          </w:tcPr>
          <w:p w14:paraId="7BFE46A0" w14:textId="166B9BA0" w:rsidR="00650051" w:rsidRPr="007B5270" w:rsidRDefault="007B527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64E87404" w14:textId="7117C17F" w:rsidR="00650051" w:rsidRPr="007B5270" w:rsidRDefault="007B527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7" w:type="pct"/>
            <w:vAlign w:val="center"/>
          </w:tcPr>
          <w:p w14:paraId="44B79C16" w14:textId="07A393E0" w:rsidR="00650051" w:rsidRPr="007B5270" w:rsidRDefault="007B527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vAlign w:val="center"/>
          </w:tcPr>
          <w:p w14:paraId="52EBE1A4" w14:textId="296CB046" w:rsidR="00650051" w:rsidRPr="007B5270" w:rsidRDefault="007B5270" w:rsidP="00650051">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3E3C2EC3" w14:textId="49B3343D" w:rsidR="00650051" w:rsidRPr="007B5270" w:rsidRDefault="007B5270" w:rsidP="00650051">
            <w:pPr>
              <w:spacing w:after="0"/>
              <w:jc w:val="center"/>
              <w:rPr>
                <w:rFonts w:cs="Times New Roman"/>
                <w:i/>
                <w:iCs/>
                <w:sz w:val="20"/>
                <w:szCs w:val="20"/>
                <w:lang w:val="ro-RO" w:eastAsia="ru-RU"/>
              </w:rPr>
            </w:pPr>
            <w:r>
              <w:rPr>
                <w:rFonts w:cs="Times New Roman"/>
                <w:i/>
                <w:iCs/>
                <w:sz w:val="20"/>
                <w:szCs w:val="20"/>
                <w:lang w:val="ro-RO" w:eastAsia="ru-RU"/>
              </w:rPr>
              <w:t>0</w:t>
            </w:r>
          </w:p>
        </w:tc>
      </w:tr>
      <w:tr w:rsidR="007B5270" w:rsidRPr="005B7C9A" w14:paraId="5FC4FD7A" w14:textId="77777777" w:rsidTr="006D25BE">
        <w:trPr>
          <w:trHeight w:val="53"/>
        </w:trPr>
        <w:tc>
          <w:tcPr>
            <w:tcW w:w="1552" w:type="pct"/>
            <w:shd w:val="clear" w:color="auto" w:fill="FFFFFF"/>
            <w:vAlign w:val="center"/>
          </w:tcPr>
          <w:p w14:paraId="22375E48" w14:textId="03C54A62" w:rsidR="007B5270" w:rsidRPr="005921C0" w:rsidRDefault="007B5270" w:rsidP="007B5270">
            <w:pPr>
              <w:spacing w:after="0"/>
              <w:rPr>
                <w:rFonts w:cs="Times New Roman"/>
                <w:i/>
                <w:iCs/>
                <w:sz w:val="20"/>
                <w:szCs w:val="20"/>
                <w:lang w:val="ro-RO" w:eastAsia="ru-RU"/>
              </w:rPr>
            </w:pPr>
            <w:r>
              <w:rPr>
                <w:rFonts w:cs="Times New Roman"/>
                <w:i/>
                <w:iCs/>
                <w:sz w:val="20"/>
                <w:szCs w:val="20"/>
                <w:lang w:val="ro-RO" w:eastAsia="ru-RU"/>
              </w:rPr>
              <w:t>Costuri neacoperite (mii lei)</w:t>
            </w:r>
          </w:p>
        </w:tc>
        <w:tc>
          <w:tcPr>
            <w:tcW w:w="655" w:type="pct"/>
            <w:vAlign w:val="center"/>
          </w:tcPr>
          <w:p w14:paraId="4128B072" w14:textId="1CE9031D" w:rsidR="007B5270" w:rsidRPr="007B5270" w:rsidRDefault="007B5270" w:rsidP="007B5270">
            <w:pPr>
              <w:spacing w:after="0"/>
              <w:jc w:val="center"/>
              <w:rPr>
                <w:rFonts w:cs="Times New Roman"/>
                <w:i/>
                <w:iCs/>
                <w:sz w:val="20"/>
                <w:szCs w:val="20"/>
                <w:lang w:val="ro-RO" w:eastAsia="ru-RU"/>
              </w:rPr>
            </w:pPr>
            <w:r w:rsidRPr="007B5270">
              <w:rPr>
                <w:rFonts w:cs="Times New Roman"/>
                <w:i/>
                <w:iCs/>
                <w:sz w:val="20"/>
                <w:szCs w:val="20"/>
                <w:lang w:val="ro-RO" w:eastAsia="ru-RU"/>
              </w:rPr>
              <w:t>735,0</w:t>
            </w:r>
          </w:p>
        </w:tc>
        <w:tc>
          <w:tcPr>
            <w:tcW w:w="538" w:type="pct"/>
            <w:vAlign w:val="center"/>
          </w:tcPr>
          <w:p w14:paraId="5105D968" w14:textId="0A82F486" w:rsidR="007B5270" w:rsidRPr="007B5270" w:rsidRDefault="007B5270" w:rsidP="007B5270">
            <w:pPr>
              <w:spacing w:after="0"/>
              <w:jc w:val="center"/>
              <w:rPr>
                <w:rFonts w:cs="Times New Roman"/>
                <w:i/>
                <w:iCs/>
                <w:sz w:val="20"/>
                <w:szCs w:val="20"/>
                <w:lang w:val="ro-RO" w:eastAsia="ru-RU"/>
              </w:rPr>
            </w:pPr>
            <w:r>
              <w:rPr>
                <w:rFonts w:cs="Times New Roman"/>
                <w:i/>
                <w:iCs/>
                <w:sz w:val="20"/>
                <w:szCs w:val="20"/>
                <w:lang w:val="ro-RO" w:eastAsia="ru-RU"/>
              </w:rPr>
              <w:t>0</w:t>
            </w:r>
          </w:p>
        </w:tc>
        <w:tc>
          <w:tcPr>
            <w:tcW w:w="596" w:type="pct"/>
            <w:vAlign w:val="center"/>
          </w:tcPr>
          <w:p w14:paraId="68725C5F" w14:textId="35E249B5" w:rsidR="007B5270" w:rsidRPr="007B5270" w:rsidRDefault="007B5270" w:rsidP="007B5270">
            <w:pPr>
              <w:spacing w:after="0"/>
              <w:jc w:val="center"/>
              <w:rPr>
                <w:rFonts w:cs="Times New Roman"/>
                <w:i/>
                <w:iCs/>
                <w:sz w:val="20"/>
                <w:szCs w:val="20"/>
                <w:lang w:val="ro-RO" w:eastAsia="ru-RU"/>
              </w:rPr>
            </w:pPr>
            <w:r>
              <w:rPr>
                <w:rFonts w:cs="Times New Roman"/>
                <w:i/>
                <w:iCs/>
                <w:sz w:val="20"/>
                <w:szCs w:val="20"/>
                <w:lang w:val="ro-RO" w:eastAsia="ru-RU"/>
              </w:rPr>
              <w:t>684,6</w:t>
            </w:r>
          </w:p>
        </w:tc>
        <w:tc>
          <w:tcPr>
            <w:tcW w:w="557" w:type="pct"/>
            <w:vAlign w:val="center"/>
          </w:tcPr>
          <w:p w14:paraId="064E9071" w14:textId="45327C58" w:rsidR="007B5270" w:rsidRPr="007B5270" w:rsidRDefault="007B5270" w:rsidP="007B5270">
            <w:pPr>
              <w:spacing w:after="0"/>
              <w:jc w:val="center"/>
              <w:rPr>
                <w:rFonts w:cs="Times New Roman"/>
                <w:i/>
                <w:iCs/>
                <w:sz w:val="20"/>
                <w:szCs w:val="20"/>
                <w:lang w:val="ro-RO" w:eastAsia="ru-RU"/>
              </w:rPr>
            </w:pPr>
            <w:r>
              <w:rPr>
                <w:rFonts w:cs="Times New Roman"/>
                <w:i/>
                <w:iCs/>
                <w:sz w:val="20"/>
                <w:szCs w:val="20"/>
                <w:lang w:val="ro-RO" w:eastAsia="ru-RU"/>
              </w:rPr>
              <w:t>50,4</w:t>
            </w:r>
          </w:p>
        </w:tc>
        <w:tc>
          <w:tcPr>
            <w:tcW w:w="551" w:type="pct"/>
            <w:vAlign w:val="center"/>
          </w:tcPr>
          <w:p w14:paraId="0F07F00F" w14:textId="2AD362D3" w:rsidR="007B5270" w:rsidRPr="007B5270" w:rsidRDefault="007B5270" w:rsidP="007B5270">
            <w:pPr>
              <w:spacing w:after="0"/>
              <w:jc w:val="center"/>
              <w:rPr>
                <w:rFonts w:cs="Times New Roman"/>
                <w:i/>
                <w:iCs/>
                <w:sz w:val="20"/>
                <w:szCs w:val="20"/>
                <w:lang w:val="ro-RO" w:eastAsia="ru-RU"/>
              </w:rPr>
            </w:pPr>
            <w:r>
              <w:rPr>
                <w:rFonts w:cs="Times New Roman"/>
                <w:i/>
                <w:iCs/>
                <w:sz w:val="20"/>
                <w:szCs w:val="20"/>
                <w:lang w:val="ro-RO" w:eastAsia="ru-RU"/>
              </w:rPr>
              <w:t>0</w:t>
            </w:r>
          </w:p>
        </w:tc>
        <w:tc>
          <w:tcPr>
            <w:tcW w:w="551" w:type="pct"/>
          </w:tcPr>
          <w:p w14:paraId="3E911AFC" w14:textId="7AE7D495" w:rsidR="007B5270" w:rsidRPr="007B5270" w:rsidRDefault="007B5270" w:rsidP="007B5270">
            <w:pPr>
              <w:spacing w:after="0"/>
              <w:jc w:val="center"/>
              <w:rPr>
                <w:rFonts w:cs="Times New Roman"/>
                <w:i/>
                <w:iCs/>
                <w:sz w:val="20"/>
                <w:szCs w:val="20"/>
                <w:lang w:val="ro-RO" w:eastAsia="ru-RU"/>
              </w:rPr>
            </w:pPr>
            <w:r>
              <w:rPr>
                <w:rFonts w:cs="Times New Roman"/>
                <w:i/>
                <w:iCs/>
                <w:sz w:val="20"/>
                <w:szCs w:val="20"/>
                <w:lang w:val="ro-RO" w:eastAsia="ru-RU"/>
              </w:rPr>
              <w:t>0</w:t>
            </w:r>
          </w:p>
        </w:tc>
      </w:tr>
      <w:tr w:rsidR="007B5270" w:rsidRPr="005B7C9A" w14:paraId="0B23C845" w14:textId="6BD5D40C" w:rsidTr="006D25BE">
        <w:trPr>
          <w:trHeight w:val="53"/>
        </w:trPr>
        <w:tc>
          <w:tcPr>
            <w:tcW w:w="1552" w:type="pct"/>
            <w:shd w:val="clear" w:color="auto" w:fill="FFFFFF"/>
            <w:vAlign w:val="center"/>
          </w:tcPr>
          <w:p w14:paraId="08ACEC3B" w14:textId="77777777" w:rsidR="007B5270" w:rsidRPr="005921C0" w:rsidRDefault="007B5270" w:rsidP="007B5270">
            <w:pPr>
              <w:spacing w:after="0"/>
              <w:jc w:val="center"/>
              <w:rPr>
                <w:rFonts w:eastAsia="Calibri" w:cs="Times New Roman"/>
                <w:b/>
                <w:bCs/>
                <w:sz w:val="20"/>
                <w:szCs w:val="20"/>
                <w:lang w:val="ro-RO" w:eastAsia="zh-CN"/>
              </w:rPr>
            </w:pPr>
            <w:r w:rsidRPr="005921C0">
              <w:rPr>
                <w:rFonts w:cs="Times New Roman"/>
                <w:b/>
                <w:bCs/>
                <w:sz w:val="20"/>
                <w:szCs w:val="20"/>
                <w:lang w:val="ro-RO" w:eastAsia="ru-RU"/>
              </w:rPr>
              <w:t>TOTAL</w:t>
            </w:r>
          </w:p>
        </w:tc>
        <w:tc>
          <w:tcPr>
            <w:tcW w:w="655" w:type="pct"/>
            <w:vAlign w:val="bottom"/>
          </w:tcPr>
          <w:p w14:paraId="6CEF440F" w14:textId="4A4C83A4" w:rsidR="007B5270" w:rsidRPr="00E25E1A" w:rsidRDefault="007B5270" w:rsidP="007B5270">
            <w:pPr>
              <w:spacing w:after="0"/>
              <w:jc w:val="center"/>
              <w:rPr>
                <w:rFonts w:cs="Times New Roman"/>
                <w:b/>
                <w:bCs/>
                <w:sz w:val="20"/>
                <w:szCs w:val="20"/>
                <w:lang w:val="ro-RO" w:eastAsia="ru-RU"/>
              </w:rPr>
            </w:pPr>
            <w:r w:rsidRPr="006D25BE">
              <w:rPr>
                <w:b/>
                <w:bCs/>
                <w:color w:val="000000"/>
                <w:sz w:val="20"/>
              </w:rPr>
              <w:t>1.5</w:t>
            </w:r>
            <w:r>
              <w:rPr>
                <w:b/>
                <w:bCs/>
                <w:color w:val="000000"/>
                <w:sz w:val="20"/>
                <w:lang w:val="ro-RO"/>
              </w:rPr>
              <w:t>9</w:t>
            </w:r>
            <w:r w:rsidR="00E25E1A">
              <w:rPr>
                <w:b/>
                <w:bCs/>
                <w:color w:val="000000"/>
                <w:sz w:val="20"/>
                <w:lang w:val="ro-RO"/>
              </w:rPr>
              <w:t>2</w:t>
            </w:r>
            <w:r w:rsidRPr="006D25BE">
              <w:rPr>
                <w:b/>
                <w:bCs/>
                <w:color w:val="000000"/>
                <w:sz w:val="20"/>
              </w:rPr>
              <w:t>.</w:t>
            </w:r>
            <w:r>
              <w:rPr>
                <w:b/>
                <w:bCs/>
                <w:color w:val="000000"/>
                <w:sz w:val="20"/>
                <w:lang w:val="ro-RO"/>
              </w:rPr>
              <w:t>90</w:t>
            </w:r>
            <w:r w:rsidR="00E25E1A">
              <w:rPr>
                <w:b/>
                <w:bCs/>
                <w:color w:val="000000"/>
                <w:sz w:val="20"/>
                <w:lang w:val="ro-RO"/>
              </w:rPr>
              <w:t>3</w:t>
            </w:r>
            <w:r w:rsidRPr="006D25BE">
              <w:rPr>
                <w:b/>
                <w:bCs/>
                <w:color w:val="000000"/>
                <w:sz w:val="20"/>
              </w:rPr>
              <w:t>,</w:t>
            </w:r>
            <w:r w:rsidR="00E25E1A">
              <w:rPr>
                <w:b/>
                <w:bCs/>
                <w:color w:val="000000"/>
                <w:sz w:val="20"/>
                <w:lang w:val="ro-RO"/>
              </w:rPr>
              <w:t>2</w:t>
            </w:r>
          </w:p>
        </w:tc>
        <w:tc>
          <w:tcPr>
            <w:tcW w:w="538" w:type="pct"/>
            <w:vAlign w:val="bottom"/>
          </w:tcPr>
          <w:p w14:paraId="3212EF3B" w14:textId="3DEB48F4" w:rsidR="007B5270" w:rsidRPr="00311244" w:rsidRDefault="007B5270" w:rsidP="007B5270">
            <w:pPr>
              <w:spacing w:after="0"/>
              <w:jc w:val="center"/>
              <w:rPr>
                <w:rFonts w:cs="Times New Roman"/>
                <w:b/>
                <w:bCs/>
                <w:sz w:val="20"/>
                <w:szCs w:val="20"/>
                <w:lang w:val="ro-RO" w:eastAsia="ru-RU"/>
              </w:rPr>
            </w:pPr>
            <w:r w:rsidRPr="006D25BE">
              <w:rPr>
                <w:b/>
                <w:bCs/>
                <w:color w:val="000000"/>
                <w:sz w:val="20"/>
              </w:rPr>
              <w:t>4</w:t>
            </w:r>
            <w:r w:rsidR="00450C0C">
              <w:rPr>
                <w:b/>
                <w:bCs/>
                <w:color w:val="000000"/>
                <w:sz w:val="20"/>
                <w:lang w:val="ro-RO"/>
              </w:rPr>
              <w:t>53</w:t>
            </w:r>
            <w:r w:rsidRPr="006D25BE">
              <w:rPr>
                <w:b/>
                <w:bCs/>
                <w:color w:val="000000"/>
                <w:sz w:val="20"/>
              </w:rPr>
              <w:t>.</w:t>
            </w:r>
            <w:r w:rsidR="00450C0C">
              <w:rPr>
                <w:b/>
                <w:bCs/>
                <w:color w:val="000000"/>
                <w:sz w:val="20"/>
                <w:lang w:val="ro-RO"/>
              </w:rPr>
              <w:t>205</w:t>
            </w:r>
            <w:r w:rsidRPr="006D25BE">
              <w:rPr>
                <w:b/>
                <w:bCs/>
                <w:color w:val="000000"/>
                <w:sz w:val="20"/>
              </w:rPr>
              <w:t>,</w:t>
            </w:r>
            <w:r>
              <w:rPr>
                <w:b/>
                <w:bCs/>
                <w:color w:val="000000"/>
                <w:sz w:val="20"/>
                <w:lang w:val="ro-RO"/>
              </w:rPr>
              <w:t>2</w:t>
            </w:r>
          </w:p>
        </w:tc>
        <w:tc>
          <w:tcPr>
            <w:tcW w:w="596" w:type="pct"/>
            <w:vAlign w:val="bottom"/>
          </w:tcPr>
          <w:p w14:paraId="1B7086F9" w14:textId="16BE84FD" w:rsidR="007B5270" w:rsidRPr="00450C0C" w:rsidRDefault="007B5270" w:rsidP="007B5270">
            <w:pPr>
              <w:spacing w:after="0"/>
              <w:jc w:val="center"/>
              <w:rPr>
                <w:rFonts w:cs="Times New Roman"/>
                <w:b/>
                <w:bCs/>
                <w:sz w:val="20"/>
                <w:szCs w:val="20"/>
                <w:lang w:val="ro-RO" w:eastAsia="ru-RU"/>
              </w:rPr>
            </w:pPr>
            <w:r w:rsidRPr="006D25BE">
              <w:rPr>
                <w:b/>
                <w:bCs/>
                <w:color w:val="000000"/>
                <w:sz w:val="20"/>
              </w:rPr>
              <w:t>43</w:t>
            </w:r>
            <w:r w:rsidR="00450C0C">
              <w:rPr>
                <w:b/>
                <w:bCs/>
                <w:color w:val="000000"/>
                <w:sz w:val="20"/>
                <w:lang w:val="ro-RO"/>
              </w:rPr>
              <w:t>6</w:t>
            </w:r>
            <w:r w:rsidRPr="006D25BE">
              <w:rPr>
                <w:b/>
                <w:bCs/>
                <w:color w:val="000000"/>
                <w:sz w:val="20"/>
              </w:rPr>
              <w:t>.</w:t>
            </w:r>
            <w:r w:rsidR="00450C0C">
              <w:rPr>
                <w:b/>
                <w:bCs/>
                <w:color w:val="000000"/>
                <w:sz w:val="20"/>
                <w:lang w:val="ro-RO"/>
              </w:rPr>
              <w:t>004</w:t>
            </w:r>
            <w:r w:rsidRPr="006D25BE">
              <w:rPr>
                <w:b/>
                <w:bCs/>
                <w:color w:val="000000"/>
                <w:sz w:val="20"/>
              </w:rPr>
              <w:t>,</w:t>
            </w:r>
            <w:r w:rsidR="00450C0C">
              <w:rPr>
                <w:b/>
                <w:bCs/>
                <w:color w:val="000000"/>
                <w:sz w:val="20"/>
                <w:lang w:val="ro-RO"/>
              </w:rPr>
              <w:t>9</w:t>
            </w:r>
          </w:p>
        </w:tc>
        <w:tc>
          <w:tcPr>
            <w:tcW w:w="557" w:type="pct"/>
            <w:vAlign w:val="bottom"/>
          </w:tcPr>
          <w:p w14:paraId="46F6BE72" w14:textId="651D7E8A" w:rsidR="007B5270" w:rsidRPr="00450C0C" w:rsidRDefault="007B5270" w:rsidP="007B5270">
            <w:pPr>
              <w:spacing w:after="0"/>
              <w:jc w:val="center"/>
              <w:rPr>
                <w:rFonts w:cs="Times New Roman"/>
                <w:b/>
                <w:bCs/>
                <w:sz w:val="20"/>
                <w:szCs w:val="20"/>
                <w:lang w:val="ro-RO" w:eastAsia="ru-RU"/>
              </w:rPr>
            </w:pPr>
            <w:r w:rsidRPr="006D25BE">
              <w:rPr>
                <w:b/>
                <w:bCs/>
                <w:color w:val="000000"/>
                <w:sz w:val="20"/>
              </w:rPr>
              <w:t>29</w:t>
            </w:r>
            <w:r w:rsidR="00450C0C">
              <w:rPr>
                <w:b/>
                <w:bCs/>
                <w:color w:val="000000"/>
                <w:sz w:val="20"/>
                <w:lang w:val="ro-RO"/>
              </w:rPr>
              <w:t>7</w:t>
            </w:r>
            <w:r w:rsidRPr="006D25BE">
              <w:rPr>
                <w:b/>
                <w:bCs/>
                <w:color w:val="000000"/>
                <w:sz w:val="20"/>
              </w:rPr>
              <w:t>.</w:t>
            </w:r>
            <w:r w:rsidR="00450C0C">
              <w:rPr>
                <w:b/>
                <w:bCs/>
                <w:color w:val="000000"/>
                <w:sz w:val="20"/>
                <w:lang w:val="ro-RO"/>
              </w:rPr>
              <w:t>938</w:t>
            </w:r>
            <w:r w:rsidRPr="006D25BE">
              <w:rPr>
                <w:b/>
                <w:bCs/>
                <w:color w:val="000000"/>
                <w:sz w:val="20"/>
              </w:rPr>
              <w:t>,</w:t>
            </w:r>
            <w:r w:rsidR="00450C0C">
              <w:rPr>
                <w:b/>
                <w:bCs/>
                <w:color w:val="000000"/>
                <w:sz w:val="20"/>
                <w:lang w:val="ro-RO"/>
              </w:rPr>
              <w:t>6</w:t>
            </w:r>
          </w:p>
        </w:tc>
        <w:tc>
          <w:tcPr>
            <w:tcW w:w="551" w:type="pct"/>
            <w:vAlign w:val="bottom"/>
          </w:tcPr>
          <w:p w14:paraId="02F4F9E7" w14:textId="5C04ABA2" w:rsidR="007B5270" w:rsidRPr="00450C0C" w:rsidRDefault="007B5270" w:rsidP="007B5270">
            <w:pPr>
              <w:spacing w:after="0"/>
              <w:jc w:val="center"/>
              <w:rPr>
                <w:rFonts w:cs="Times New Roman"/>
                <w:b/>
                <w:bCs/>
                <w:sz w:val="20"/>
                <w:szCs w:val="20"/>
                <w:lang w:val="ro-RO" w:eastAsia="ru-RU"/>
              </w:rPr>
            </w:pPr>
            <w:r w:rsidRPr="006D25BE">
              <w:rPr>
                <w:b/>
                <w:bCs/>
                <w:color w:val="000000"/>
                <w:sz w:val="20"/>
              </w:rPr>
              <w:t>30</w:t>
            </w:r>
            <w:r w:rsidR="00450C0C">
              <w:rPr>
                <w:b/>
                <w:bCs/>
                <w:color w:val="000000"/>
                <w:sz w:val="20"/>
                <w:lang w:val="ro-RO"/>
              </w:rPr>
              <w:t>0</w:t>
            </w:r>
            <w:r w:rsidRPr="006D25BE">
              <w:rPr>
                <w:b/>
                <w:bCs/>
                <w:color w:val="000000"/>
                <w:sz w:val="20"/>
              </w:rPr>
              <w:t>.</w:t>
            </w:r>
            <w:r w:rsidR="00450C0C">
              <w:rPr>
                <w:b/>
                <w:bCs/>
                <w:color w:val="000000"/>
                <w:sz w:val="20"/>
                <w:lang w:val="ro-RO"/>
              </w:rPr>
              <w:t>271</w:t>
            </w:r>
            <w:r w:rsidRPr="006D25BE">
              <w:rPr>
                <w:b/>
                <w:bCs/>
                <w:color w:val="000000"/>
                <w:sz w:val="20"/>
              </w:rPr>
              <w:t>,</w:t>
            </w:r>
            <w:r w:rsidR="00450C0C">
              <w:rPr>
                <w:b/>
                <w:bCs/>
                <w:color w:val="000000"/>
                <w:sz w:val="20"/>
                <w:lang w:val="ro-RO"/>
              </w:rPr>
              <w:t>0</w:t>
            </w:r>
          </w:p>
        </w:tc>
        <w:tc>
          <w:tcPr>
            <w:tcW w:w="551" w:type="pct"/>
            <w:vAlign w:val="bottom"/>
          </w:tcPr>
          <w:p w14:paraId="0534BA63" w14:textId="34837817" w:rsidR="007B5270" w:rsidRPr="00450C0C" w:rsidRDefault="007B5270" w:rsidP="007B5270">
            <w:pPr>
              <w:spacing w:after="0"/>
              <w:jc w:val="center"/>
              <w:rPr>
                <w:rFonts w:cs="Times New Roman"/>
                <w:b/>
                <w:bCs/>
                <w:sz w:val="20"/>
                <w:szCs w:val="20"/>
                <w:lang w:val="ro-RO" w:eastAsia="ru-RU"/>
              </w:rPr>
            </w:pPr>
            <w:r w:rsidRPr="006D25BE">
              <w:rPr>
                <w:b/>
                <w:bCs/>
                <w:color w:val="000000"/>
                <w:sz w:val="20"/>
              </w:rPr>
              <w:t>10</w:t>
            </w:r>
            <w:r w:rsidR="00450C0C">
              <w:rPr>
                <w:b/>
                <w:bCs/>
                <w:color w:val="000000"/>
                <w:sz w:val="20"/>
                <w:lang w:val="ro-RO"/>
              </w:rPr>
              <w:t>5</w:t>
            </w:r>
            <w:r w:rsidRPr="006D25BE">
              <w:rPr>
                <w:b/>
                <w:bCs/>
                <w:color w:val="000000"/>
                <w:sz w:val="20"/>
              </w:rPr>
              <w:t>.</w:t>
            </w:r>
            <w:r w:rsidR="00450C0C">
              <w:rPr>
                <w:b/>
                <w:bCs/>
                <w:color w:val="000000"/>
                <w:sz w:val="20"/>
                <w:lang w:val="ro-RO"/>
              </w:rPr>
              <w:t>321</w:t>
            </w:r>
            <w:r w:rsidRPr="006D25BE">
              <w:rPr>
                <w:b/>
                <w:bCs/>
                <w:color w:val="000000"/>
                <w:sz w:val="20"/>
              </w:rPr>
              <w:t>,</w:t>
            </w:r>
            <w:r w:rsidR="00450C0C">
              <w:rPr>
                <w:b/>
                <w:bCs/>
                <w:color w:val="000000"/>
                <w:sz w:val="20"/>
                <w:lang w:val="ro-RO"/>
              </w:rPr>
              <w:t>9</w:t>
            </w:r>
          </w:p>
        </w:tc>
      </w:tr>
      <w:tr w:rsidR="007B5270" w:rsidRPr="005B7C9A" w14:paraId="0FDD5C3D" w14:textId="52DF1C57" w:rsidTr="006D25BE">
        <w:trPr>
          <w:trHeight w:val="53"/>
        </w:trPr>
        <w:tc>
          <w:tcPr>
            <w:tcW w:w="1552" w:type="pct"/>
            <w:shd w:val="clear" w:color="auto" w:fill="FFFFFF"/>
            <w:vAlign w:val="center"/>
          </w:tcPr>
          <w:p w14:paraId="76C6BF21" w14:textId="522E276E" w:rsidR="007B5270" w:rsidRPr="005921C0" w:rsidRDefault="007B5270" w:rsidP="007B5270">
            <w:pPr>
              <w:spacing w:after="0"/>
              <w:rPr>
                <w:rFonts w:cs="Times New Roman"/>
                <w:i/>
                <w:iCs/>
                <w:sz w:val="20"/>
                <w:szCs w:val="20"/>
                <w:lang w:val="ro-RO" w:eastAsia="ru-RU"/>
              </w:rPr>
            </w:pPr>
            <w:r w:rsidRPr="005921C0">
              <w:rPr>
                <w:rFonts w:cs="Times New Roman"/>
                <w:i/>
                <w:iCs/>
                <w:sz w:val="20"/>
                <w:szCs w:val="20"/>
                <w:lang w:val="ro-RO" w:eastAsia="ru-RU"/>
              </w:rPr>
              <w:t>Costuri acoperite în CBTM (mii lei)</w:t>
            </w:r>
          </w:p>
        </w:tc>
        <w:tc>
          <w:tcPr>
            <w:tcW w:w="655" w:type="pct"/>
            <w:vAlign w:val="center"/>
          </w:tcPr>
          <w:p w14:paraId="419F516F" w14:textId="0F0BB7B6" w:rsidR="007B5270" w:rsidRPr="003E2AF0" w:rsidRDefault="007B5270" w:rsidP="007B5270">
            <w:pPr>
              <w:spacing w:after="0"/>
              <w:jc w:val="center"/>
              <w:rPr>
                <w:rFonts w:cs="Times New Roman"/>
                <w:b/>
                <w:bCs/>
                <w:i/>
                <w:iCs/>
                <w:sz w:val="20"/>
                <w:szCs w:val="20"/>
                <w:lang w:val="ro-RO" w:eastAsia="ru-RU"/>
              </w:rPr>
            </w:pPr>
            <w:r w:rsidRPr="003E2AF0">
              <w:rPr>
                <w:rFonts w:cs="Times New Roman"/>
                <w:b/>
                <w:bCs/>
                <w:i/>
                <w:iCs/>
                <w:sz w:val="20"/>
                <w:szCs w:val="20"/>
                <w:lang w:val="ro-RO" w:eastAsia="ru-RU"/>
              </w:rPr>
              <w:t>1.4</w:t>
            </w:r>
            <w:r w:rsidR="00E25E1A">
              <w:rPr>
                <w:rFonts w:cs="Times New Roman"/>
                <w:b/>
                <w:bCs/>
                <w:i/>
                <w:iCs/>
                <w:sz w:val="20"/>
                <w:szCs w:val="20"/>
                <w:lang w:val="ro-RO" w:eastAsia="ru-RU"/>
              </w:rPr>
              <w:t>84</w:t>
            </w:r>
            <w:r w:rsidRPr="003E2AF0">
              <w:rPr>
                <w:rFonts w:cs="Times New Roman"/>
                <w:b/>
                <w:bCs/>
                <w:i/>
                <w:iCs/>
                <w:sz w:val="20"/>
                <w:szCs w:val="20"/>
                <w:lang w:val="ro-RO" w:eastAsia="ru-RU"/>
              </w:rPr>
              <w:t>.77</w:t>
            </w:r>
            <w:r w:rsidR="00E25E1A">
              <w:rPr>
                <w:rFonts w:cs="Times New Roman"/>
                <w:b/>
                <w:bCs/>
                <w:i/>
                <w:iCs/>
                <w:sz w:val="20"/>
                <w:szCs w:val="20"/>
                <w:lang w:val="ro-RO" w:eastAsia="ru-RU"/>
              </w:rPr>
              <w:t>2</w:t>
            </w:r>
            <w:r w:rsidRPr="003E2AF0">
              <w:rPr>
                <w:rFonts w:cs="Times New Roman"/>
                <w:b/>
                <w:bCs/>
                <w:i/>
                <w:iCs/>
                <w:sz w:val="20"/>
                <w:szCs w:val="20"/>
                <w:lang w:val="ro-RO" w:eastAsia="ru-RU"/>
              </w:rPr>
              <w:t>,</w:t>
            </w:r>
            <w:r w:rsidR="00E25E1A">
              <w:rPr>
                <w:rFonts w:cs="Times New Roman"/>
                <w:b/>
                <w:bCs/>
                <w:i/>
                <w:iCs/>
                <w:sz w:val="20"/>
                <w:szCs w:val="20"/>
                <w:lang w:val="ro-RO" w:eastAsia="ru-RU"/>
              </w:rPr>
              <w:t>5</w:t>
            </w:r>
          </w:p>
        </w:tc>
        <w:tc>
          <w:tcPr>
            <w:tcW w:w="538" w:type="pct"/>
            <w:vAlign w:val="center"/>
          </w:tcPr>
          <w:p w14:paraId="1803F501" w14:textId="6956F623"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eastAsia="ru-RU"/>
              </w:rPr>
              <w:t>4</w:t>
            </w:r>
            <w:r w:rsidRPr="00096503">
              <w:rPr>
                <w:rFonts w:cs="Times New Roman"/>
                <w:b/>
                <w:bCs/>
                <w:i/>
                <w:iCs/>
                <w:sz w:val="20"/>
                <w:szCs w:val="20"/>
                <w:lang w:val="ro-RO" w:eastAsia="ru-RU"/>
              </w:rPr>
              <w:t>19</w:t>
            </w:r>
            <w:r w:rsidRPr="00096503">
              <w:rPr>
                <w:rFonts w:cs="Times New Roman"/>
                <w:b/>
                <w:bCs/>
                <w:i/>
                <w:iCs/>
                <w:sz w:val="20"/>
                <w:szCs w:val="20"/>
                <w:lang w:eastAsia="ru-RU"/>
              </w:rPr>
              <w:t>.</w:t>
            </w:r>
            <w:r w:rsidRPr="00096503">
              <w:rPr>
                <w:rFonts w:cs="Times New Roman"/>
                <w:b/>
                <w:bCs/>
                <w:i/>
                <w:iCs/>
                <w:sz w:val="20"/>
                <w:szCs w:val="20"/>
                <w:lang w:val="ro-RO" w:eastAsia="ru-RU"/>
              </w:rPr>
              <w:t>382</w:t>
            </w:r>
            <w:r w:rsidRPr="00096503">
              <w:rPr>
                <w:rFonts w:cs="Times New Roman"/>
                <w:b/>
                <w:bCs/>
                <w:i/>
                <w:iCs/>
                <w:sz w:val="20"/>
                <w:szCs w:val="20"/>
                <w:lang w:eastAsia="ru-RU"/>
              </w:rPr>
              <w:t>,</w:t>
            </w:r>
            <w:r w:rsidRPr="00096503">
              <w:rPr>
                <w:rFonts w:cs="Times New Roman"/>
                <w:b/>
                <w:bCs/>
                <w:i/>
                <w:iCs/>
                <w:sz w:val="20"/>
                <w:szCs w:val="20"/>
                <w:lang w:val="ro-RO" w:eastAsia="ru-RU"/>
              </w:rPr>
              <w:t>7</w:t>
            </w:r>
          </w:p>
        </w:tc>
        <w:tc>
          <w:tcPr>
            <w:tcW w:w="596" w:type="pct"/>
            <w:vAlign w:val="center"/>
          </w:tcPr>
          <w:p w14:paraId="6ADAED7E" w14:textId="04EAD187"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val="ro-RO" w:eastAsia="ru-RU"/>
              </w:rPr>
              <w:t>390</w:t>
            </w:r>
            <w:r w:rsidR="00450C0C">
              <w:rPr>
                <w:rFonts w:cs="Times New Roman"/>
                <w:b/>
                <w:bCs/>
                <w:i/>
                <w:iCs/>
                <w:sz w:val="20"/>
                <w:szCs w:val="20"/>
                <w:lang w:val="ro-RO" w:eastAsia="ru-RU"/>
              </w:rPr>
              <w:t>.</w:t>
            </w:r>
            <w:r w:rsidRPr="00096503">
              <w:rPr>
                <w:rFonts w:cs="Times New Roman"/>
                <w:b/>
                <w:bCs/>
                <w:i/>
                <w:iCs/>
                <w:sz w:val="20"/>
                <w:szCs w:val="20"/>
                <w:lang w:val="ro-RO" w:eastAsia="ru-RU"/>
              </w:rPr>
              <w:t>651,8</w:t>
            </w:r>
          </w:p>
        </w:tc>
        <w:tc>
          <w:tcPr>
            <w:tcW w:w="557" w:type="pct"/>
            <w:vAlign w:val="center"/>
          </w:tcPr>
          <w:p w14:paraId="6BD5FB93" w14:textId="3F74E6E8" w:rsidR="007B5270" w:rsidRPr="00450C0C" w:rsidRDefault="00450C0C" w:rsidP="007B5270">
            <w:pPr>
              <w:spacing w:after="0"/>
              <w:jc w:val="center"/>
              <w:rPr>
                <w:rFonts w:cs="Times New Roman"/>
                <w:b/>
                <w:bCs/>
                <w:i/>
                <w:iCs/>
                <w:sz w:val="20"/>
                <w:szCs w:val="20"/>
                <w:lang w:val="ro-RO" w:eastAsia="ru-RU"/>
              </w:rPr>
            </w:pPr>
            <w:r w:rsidRPr="00450C0C">
              <w:rPr>
                <w:rFonts w:cs="Times New Roman"/>
                <w:b/>
                <w:bCs/>
                <w:i/>
                <w:iCs/>
                <w:sz w:val="20"/>
                <w:szCs w:val="20"/>
                <w:lang w:val="ro-RO" w:eastAsia="ru-RU"/>
              </w:rPr>
              <w:t>285</w:t>
            </w:r>
            <w:r>
              <w:rPr>
                <w:rFonts w:cs="Times New Roman"/>
                <w:b/>
                <w:bCs/>
                <w:i/>
                <w:iCs/>
                <w:sz w:val="20"/>
                <w:szCs w:val="20"/>
                <w:lang w:val="ro-RO" w:eastAsia="ru-RU"/>
              </w:rPr>
              <w:t>.</w:t>
            </w:r>
            <w:r w:rsidRPr="00450C0C">
              <w:rPr>
                <w:rFonts w:cs="Times New Roman"/>
                <w:b/>
                <w:bCs/>
                <w:i/>
                <w:iCs/>
                <w:sz w:val="20"/>
                <w:szCs w:val="20"/>
                <w:lang w:val="ro-RO" w:eastAsia="ru-RU"/>
              </w:rPr>
              <w:t>968,3</w:t>
            </w:r>
          </w:p>
        </w:tc>
        <w:tc>
          <w:tcPr>
            <w:tcW w:w="551" w:type="pct"/>
            <w:vAlign w:val="center"/>
          </w:tcPr>
          <w:p w14:paraId="0B211989" w14:textId="02CB3B56" w:rsidR="007B5270" w:rsidRPr="00450C0C" w:rsidRDefault="00450C0C" w:rsidP="007B5270">
            <w:pPr>
              <w:spacing w:after="0"/>
              <w:jc w:val="center"/>
              <w:rPr>
                <w:rFonts w:cs="Times New Roman"/>
                <w:b/>
                <w:bCs/>
                <w:i/>
                <w:iCs/>
                <w:sz w:val="20"/>
                <w:szCs w:val="20"/>
                <w:lang w:val="ro-RO" w:eastAsia="ru-RU"/>
              </w:rPr>
            </w:pPr>
            <w:r w:rsidRPr="00450C0C">
              <w:rPr>
                <w:rFonts w:cs="Times New Roman"/>
                <w:b/>
                <w:bCs/>
                <w:i/>
                <w:iCs/>
                <w:sz w:val="20"/>
                <w:szCs w:val="20"/>
                <w:lang w:val="ro-RO" w:eastAsia="ru-RU"/>
              </w:rPr>
              <w:t>290.655,4</w:t>
            </w:r>
          </w:p>
        </w:tc>
        <w:tc>
          <w:tcPr>
            <w:tcW w:w="551" w:type="pct"/>
          </w:tcPr>
          <w:p w14:paraId="544F0E2B" w14:textId="707B2B03" w:rsidR="007B5270" w:rsidRPr="00450C0C" w:rsidRDefault="00450C0C" w:rsidP="007B5270">
            <w:pPr>
              <w:spacing w:after="0"/>
              <w:jc w:val="center"/>
              <w:rPr>
                <w:rFonts w:cs="Times New Roman"/>
                <w:b/>
                <w:bCs/>
                <w:i/>
                <w:iCs/>
                <w:sz w:val="20"/>
                <w:szCs w:val="20"/>
                <w:lang w:val="ro-RO" w:eastAsia="ru-RU"/>
              </w:rPr>
            </w:pPr>
            <w:r w:rsidRPr="00450C0C">
              <w:rPr>
                <w:rFonts w:cs="Times New Roman"/>
                <w:b/>
                <w:bCs/>
                <w:i/>
                <w:iCs/>
                <w:sz w:val="20"/>
                <w:szCs w:val="20"/>
                <w:lang w:val="ro-RO" w:eastAsia="ru-RU"/>
              </w:rPr>
              <w:t>97.934,4</w:t>
            </w:r>
          </w:p>
        </w:tc>
      </w:tr>
      <w:tr w:rsidR="007B5270" w:rsidRPr="005B7C9A" w14:paraId="13274746" w14:textId="77DF7C48" w:rsidTr="006D25BE">
        <w:trPr>
          <w:trHeight w:val="53"/>
        </w:trPr>
        <w:tc>
          <w:tcPr>
            <w:tcW w:w="1552" w:type="pct"/>
            <w:shd w:val="clear" w:color="auto" w:fill="FFFFFF"/>
            <w:vAlign w:val="center"/>
          </w:tcPr>
          <w:p w14:paraId="3A283DDE" w14:textId="02959D58" w:rsidR="007B5270" w:rsidRPr="005921C0" w:rsidRDefault="007B5270" w:rsidP="007B5270">
            <w:pPr>
              <w:spacing w:after="0"/>
              <w:rPr>
                <w:rFonts w:cs="Times New Roman"/>
                <w:b/>
                <w:bCs/>
                <w:i/>
                <w:iCs/>
                <w:sz w:val="20"/>
                <w:szCs w:val="20"/>
                <w:lang w:val="ro-RO" w:eastAsia="ru-RU"/>
              </w:rPr>
            </w:pPr>
            <w:r w:rsidRPr="005921C0">
              <w:rPr>
                <w:rFonts w:cs="Times New Roman"/>
                <w:i/>
                <w:iCs/>
                <w:sz w:val="20"/>
                <w:szCs w:val="20"/>
                <w:lang w:val="ro-RO" w:eastAsia="ru-RU"/>
              </w:rPr>
              <w:t xml:space="preserve">Costuri </w:t>
            </w:r>
            <w:r>
              <w:rPr>
                <w:rFonts w:cs="Times New Roman"/>
                <w:i/>
                <w:iCs/>
                <w:sz w:val="20"/>
                <w:szCs w:val="20"/>
                <w:lang w:val="ro-RO" w:eastAsia="ru-RU"/>
              </w:rPr>
              <w:t>asistență externă</w:t>
            </w:r>
            <w:r w:rsidRPr="005921C0">
              <w:rPr>
                <w:rFonts w:cs="Times New Roman"/>
                <w:i/>
                <w:iCs/>
                <w:sz w:val="20"/>
                <w:szCs w:val="20"/>
                <w:lang w:val="ro-RO" w:eastAsia="ru-RU"/>
              </w:rPr>
              <w:t xml:space="preserve"> (mii lei)</w:t>
            </w:r>
          </w:p>
        </w:tc>
        <w:tc>
          <w:tcPr>
            <w:tcW w:w="655" w:type="pct"/>
            <w:vAlign w:val="center"/>
          </w:tcPr>
          <w:p w14:paraId="34DA3FD9" w14:textId="77E3536B" w:rsidR="007B5270" w:rsidRPr="003E2AF0" w:rsidRDefault="007B5270" w:rsidP="007B5270">
            <w:pPr>
              <w:spacing w:after="0"/>
              <w:jc w:val="center"/>
              <w:rPr>
                <w:rFonts w:cs="Times New Roman"/>
                <w:b/>
                <w:bCs/>
                <w:i/>
                <w:iCs/>
                <w:sz w:val="20"/>
                <w:szCs w:val="20"/>
                <w:lang w:val="ro-RO" w:eastAsia="ru-RU"/>
              </w:rPr>
            </w:pPr>
            <w:r w:rsidRPr="003E2AF0">
              <w:rPr>
                <w:rFonts w:cs="Times New Roman"/>
                <w:b/>
                <w:bCs/>
                <w:i/>
                <w:iCs/>
                <w:sz w:val="20"/>
                <w:szCs w:val="20"/>
                <w:lang w:val="ro-RO" w:eastAsia="ru-RU"/>
              </w:rPr>
              <w:t>9</w:t>
            </w:r>
            <w:r w:rsidR="00E25E1A">
              <w:rPr>
                <w:rFonts w:cs="Times New Roman"/>
                <w:b/>
                <w:bCs/>
                <w:i/>
                <w:iCs/>
                <w:sz w:val="20"/>
                <w:szCs w:val="20"/>
                <w:lang w:val="ro-RO" w:eastAsia="ru-RU"/>
              </w:rPr>
              <w:t>7</w:t>
            </w:r>
            <w:r w:rsidRPr="003E2AF0">
              <w:rPr>
                <w:rFonts w:cs="Times New Roman"/>
                <w:b/>
                <w:bCs/>
                <w:i/>
                <w:iCs/>
                <w:sz w:val="20"/>
                <w:szCs w:val="20"/>
                <w:lang w:val="ro-RO" w:eastAsia="ru-RU"/>
              </w:rPr>
              <w:t>.</w:t>
            </w:r>
            <w:r w:rsidR="00E25E1A">
              <w:rPr>
                <w:rFonts w:cs="Times New Roman"/>
                <w:b/>
                <w:bCs/>
                <w:i/>
                <w:iCs/>
                <w:sz w:val="20"/>
                <w:szCs w:val="20"/>
                <w:lang w:val="ro-RO" w:eastAsia="ru-RU"/>
              </w:rPr>
              <w:t>250</w:t>
            </w:r>
            <w:r w:rsidRPr="003E2AF0">
              <w:rPr>
                <w:rFonts w:cs="Times New Roman"/>
                <w:b/>
                <w:bCs/>
                <w:i/>
                <w:iCs/>
                <w:sz w:val="20"/>
                <w:szCs w:val="20"/>
                <w:lang w:val="ro-RO" w:eastAsia="ru-RU"/>
              </w:rPr>
              <w:t>,</w:t>
            </w:r>
            <w:r w:rsidR="00E25E1A">
              <w:rPr>
                <w:rFonts w:cs="Times New Roman"/>
                <w:b/>
                <w:bCs/>
                <w:i/>
                <w:iCs/>
                <w:sz w:val="20"/>
                <w:szCs w:val="20"/>
                <w:lang w:val="ro-RO" w:eastAsia="ru-RU"/>
              </w:rPr>
              <w:t>5</w:t>
            </w:r>
          </w:p>
        </w:tc>
        <w:tc>
          <w:tcPr>
            <w:tcW w:w="538" w:type="pct"/>
            <w:vAlign w:val="center"/>
          </w:tcPr>
          <w:p w14:paraId="33D02546" w14:textId="3F48FBE2" w:rsidR="007B5270" w:rsidRPr="00096503" w:rsidRDefault="00096503" w:rsidP="007B5270">
            <w:pPr>
              <w:spacing w:after="0"/>
              <w:jc w:val="center"/>
              <w:rPr>
                <w:rFonts w:cs="Times New Roman"/>
                <w:b/>
                <w:bCs/>
                <w:i/>
                <w:iCs/>
                <w:sz w:val="20"/>
                <w:szCs w:val="20"/>
                <w:lang w:val="ro-RO" w:eastAsia="ru-RU"/>
              </w:rPr>
            </w:pPr>
            <w:r>
              <w:rPr>
                <w:rFonts w:cs="Times New Roman"/>
                <w:b/>
                <w:bCs/>
                <w:i/>
                <w:iCs/>
                <w:sz w:val="20"/>
                <w:szCs w:val="20"/>
                <w:lang w:val="ro-RO" w:eastAsia="ru-RU"/>
              </w:rPr>
              <w:t>33.702</w:t>
            </w:r>
            <w:r w:rsidRPr="00096503">
              <w:rPr>
                <w:rFonts w:cs="Times New Roman"/>
                <w:b/>
                <w:bCs/>
                <w:i/>
                <w:iCs/>
                <w:sz w:val="20"/>
                <w:szCs w:val="20"/>
                <w:lang w:eastAsia="ru-RU"/>
              </w:rPr>
              <w:t>,</w:t>
            </w:r>
            <w:r>
              <w:rPr>
                <w:rFonts w:cs="Times New Roman"/>
                <w:b/>
                <w:bCs/>
                <w:i/>
                <w:iCs/>
                <w:sz w:val="20"/>
                <w:szCs w:val="20"/>
                <w:lang w:val="ro-RO" w:eastAsia="ru-RU"/>
              </w:rPr>
              <w:t>5</w:t>
            </w:r>
          </w:p>
        </w:tc>
        <w:tc>
          <w:tcPr>
            <w:tcW w:w="596" w:type="pct"/>
            <w:vAlign w:val="center"/>
          </w:tcPr>
          <w:p w14:paraId="5332C62B" w14:textId="6AA7B7F4" w:rsidR="007B5270" w:rsidRPr="005921C0" w:rsidRDefault="00096503" w:rsidP="007B5270">
            <w:pPr>
              <w:spacing w:after="0"/>
              <w:jc w:val="center"/>
              <w:rPr>
                <w:rFonts w:cs="Times New Roman"/>
                <w:b/>
                <w:bCs/>
                <w:i/>
                <w:iCs/>
                <w:sz w:val="20"/>
                <w:szCs w:val="20"/>
                <w:lang w:val="ro-RO" w:eastAsia="ru-RU"/>
              </w:rPr>
            </w:pPr>
            <w:r>
              <w:rPr>
                <w:rFonts w:cs="Times New Roman"/>
                <w:b/>
                <w:bCs/>
                <w:i/>
                <w:iCs/>
                <w:sz w:val="20"/>
                <w:szCs w:val="20"/>
                <w:lang w:val="ro-RO" w:eastAsia="ru-RU"/>
              </w:rPr>
              <w:t>42.588,5</w:t>
            </w:r>
          </w:p>
        </w:tc>
        <w:tc>
          <w:tcPr>
            <w:tcW w:w="557" w:type="pct"/>
            <w:vAlign w:val="center"/>
          </w:tcPr>
          <w:p w14:paraId="5DE9545C" w14:textId="0D285524" w:rsidR="007B5270" w:rsidRPr="005921C0" w:rsidRDefault="00450C0C" w:rsidP="007B5270">
            <w:pPr>
              <w:spacing w:after="0"/>
              <w:jc w:val="center"/>
              <w:rPr>
                <w:rFonts w:cs="Times New Roman"/>
                <w:b/>
                <w:bCs/>
                <w:i/>
                <w:iCs/>
                <w:sz w:val="20"/>
                <w:szCs w:val="20"/>
                <w:lang w:val="ro-RO" w:eastAsia="ru-RU"/>
              </w:rPr>
            </w:pPr>
            <w:r>
              <w:rPr>
                <w:rFonts w:cs="Times New Roman"/>
                <w:b/>
                <w:bCs/>
                <w:i/>
                <w:iCs/>
                <w:sz w:val="20"/>
                <w:szCs w:val="20"/>
                <w:lang w:val="ro-RO" w:eastAsia="ru-RU"/>
              </w:rPr>
              <w:t>8.408,5</w:t>
            </w:r>
          </w:p>
        </w:tc>
        <w:tc>
          <w:tcPr>
            <w:tcW w:w="551" w:type="pct"/>
            <w:vAlign w:val="center"/>
          </w:tcPr>
          <w:p w14:paraId="5B56271C" w14:textId="5BD4C8CD" w:rsidR="007B5270" w:rsidRPr="005921C0" w:rsidRDefault="00450C0C" w:rsidP="007B5270">
            <w:pPr>
              <w:spacing w:after="0"/>
              <w:jc w:val="center"/>
              <w:rPr>
                <w:rFonts w:cs="Times New Roman"/>
                <w:b/>
                <w:bCs/>
                <w:i/>
                <w:iCs/>
                <w:sz w:val="20"/>
                <w:szCs w:val="20"/>
                <w:lang w:val="ro-RO" w:eastAsia="ru-RU"/>
              </w:rPr>
            </w:pPr>
            <w:r>
              <w:rPr>
                <w:rFonts w:cs="Times New Roman"/>
                <w:b/>
                <w:bCs/>
                <w:i/>
                <w:iCs/>
                <w:sz w:val="20"/>
                <w:szCs w:val="20"/>
                <w:lang w:val="ro-RO" w:eastAsia="ru-RU"/>
              </w:rPr>
              <w:t>7.386,5</w:t>
            </w:r>
          </w:p>
        </w:tc>
        <w:tc>
          <w:tcPr>
            <w:tcW w:w="551" w:type="pct"/>
          </w:tcPr>
          <w:p w14:paraId="53AFCF3D" w14:textId="065A9362" w:rsidR="007B5270" w:rsidRPr="005921C0" w:rsidRDefault="00450C0C" w:rsidP="007B5270">
            <w:pPr>
              <w:spacing w:after="0"/>
              <w:jc w:val="center"/>
              <w:rPr>
                <w:rFonts w:cs="Times New Roman"/>
                <w:b/>
                <w:bCs/>
                <w:i/>
                <w:iCs/>
                <w:sz w:val="20"/>
                <w:szCs w:val="20"/>
                <w:lang w:val="ro-RO" w:eastAsia="ru-RU"/>
              </w:rPr>
            </w:pPr>
            <w:r>
              <w:rPr>
                <w:rFonts w:cs="Times New Roman"/>
                <w:b/>
                <w:bCs/>
                <w:i/>
                <w:iCs/>
                <w:sz w:val="20"/>
                <w:szCs w:val="20"/>
                <w:lang w:val="ro-RO" w:eastAsia="ru-RU"/>
              </w:rPr>
              <w:t>5.182,5</w:t>
            </w:r>
          </w:p>
        </w:tc>
      </w:tr>
      <w:tr w:rsidR="007B5270" w:rsidRPr="005B7C9A" w14:paraId="22EB321E" w14:textId="1AAE4562" w:rsidTr="006D25BE">
        <w:trPr>
          <w:trHeight w:val="53"/>
        </w:trPr>
        <w:tc>
          <w:tcPr>
            <w:tcW w:w="1552" w:type="pct"/>
            <w:shd w:val="clear" w:color="auto" w:fill="FFFFFF"/>
            <w:vAlign w:val="center"/>
          </w:tcPr>
          <w:p w14:paraId="64E603B2" w14:textId="6CA0EBAE" w:rsidR="007B5270" w:rsidRPr="005921C0" w:rsidRDefault="007B5270" w:rsidP="007B5270">
            <w:pPr>
              <w:spacing w:after="0"/>
              <w:rPr>
                <w:rFonts w:cs="Times New Roman"/>
                <w:b/>
                <w:bCs/>
                <w:i/>
                <w:sz w:val="20"/>
                <w:szCs w:val="20"/>
                <w:lang w:val="ro-RO" w:eastAsia="ru-RU"/>
              </w:rPr>
            </w:pPr>
            <w:r>
              <w:rPr>
                <w:rFonts w:cs="Times New Roman"/>
                <w:i/>
                <w:iCs/>
                <w:sz w:val="20"/>
                <w:szCs w:val="20"/>
                <w:lang w:val="ro-RO" w:eastAsia="ru-RU"/>
              </w:rPr>
              <w:t>Costuri neacoperite (mii lei)</w:t>
            </w:r>
          </w:p>
        </w:tc>
        <w:tc>
          <w:tcPr>
            <w:tcW w:w="655" w:type="pct"/>
            <w:vAlign w:val="center"/>
          </w:tcPr>
          <w:p w14:paraId="6728B780" w14:textId="60A9F736" w:rsidR="007B5270" w:rsidRPr="00096503" w:rsidRDefault="007B5270" w:rsidP="007B5270">
            <w:pPr>
              <w:spacing w:after="0"/>
              <w:jc w:val="center"/>
              <w:rPr>
                <w:rFonts w:cs="Times New Roman"/>
                <w:b/>
                <w:bCs/>
                <w:i/>
                <w:iCs/>
                <w:sz w:val="20"/>
                <w:szCs w:val="20"/>
                <w:lang w:val="ro-RO" w:eastAsia="ru-RU"/>
              </w:rPr>
            </w:pPr>
            <w:r w:rsidRPr="00096503">
              <w:rPr>
                <w:rFonts w:cs="Times New Roman"/>
                <w:b/>
                <w:bCs/>
                <w:i/>
                <w:iCs/>
                <w:sz w:val="20"/>
                <w:szCs w:val="20"/>
                <w:lang w:val="ro-RO" w:eastAsia="ru-RU"/>
              </w:rPr>
              <w:t>10.</w:t>
            </w:r>
            <w:r w:rsidR="00E25E1A" w:rsidRPr="00096503">
              <w:rPr>
                <w:rFonts w:cs="Times New Roman"/>
                <w:b/>
                <w:bCs/>
                <w:i/>
                <w:iCs/>
                <w:sz w:val="20"/>
                <w:szCs w:val="20"/>
                <w:lang w:val="ro-RO" w:eastAsia="ru-RU"/>
              </w:rPr>
              <w:t>880</w:t>
            </w:r>
            <w:r w:rsidRPr="00096503">
              <w:rPr>
                <w:rFonts w:cs="Times New Roman"/>
                <w:b/>
                <w:bCs/>
                <w:i/>
                <w:iCs/>
                <w:sz w:val="20"/>
                <w:szCs w:val="20"/>
                <w:lang w:val="ro-RO" w:eastAsia="ru-RU"/>
              </w:rPr>
              <w:t>,</w:t>
            </w:r>
            <w:r w:rsidR="00E25E1A" w:rsidRPr="00096503">
              <w:rPr>
                <w:rFonts w:cs="Times New Roman"/>
                <w:b/>
                <w:bCs/>
                <w:i/>
                <w:iCs/>
                <w:sz w:val="20"/>
                <w:szCs w:val="20"/>
                <w:lang w:val="ro-RO" w:eastAsia="ru-RU"/>
              </w:rPr>
              <w:t>2</w:t>
            </w:r>
          </w:p>
        </w:tc>
        <w:tc>
          <w:tcPr>
            <w:tcW w:w="538" w:type="pct"/>
            <w:vAlign w:val="center"/>
          </w:tcPr>
          <w:p w14:paraId="2014A2A9" w14:textId="34C9C4C5"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val="ro-RO" w:eastAsia="ru-RU"/>
              </w:rPr>
              <w:t>120,0</w:t>
            </w:r>
          </w:p>
        </w:tc>
        <w:tc>
          <w:tcPr>
            <w:tcW w:w="596" w:type="pct"/>
            <w:vAlign w:val="center"/>
          </w:tcPr>
          <w:p w14:paraId="52B0FC38" w14:textId="3740BC96"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eastAsia="ru-RU"/>
              </w:rPr>
              <w:t>2.</w:t>
            </w:r>
            <w:r w:rsidRPr="00096503">
              <w:rPr>
                <w:rFonts w:cs="Times New Roman"/>
                <w:b/>
                <w:bCs/>
                <w:i/>
                <w:iCs/>
                <w:sz w:val="20"/>
                <w:szCs w:val="20"/>
                <w:lang w:val="ro-RO" w:eastAsia="ru-RU"/>
              </w:rPr>
              <w:t>764</w:t>
            </w:r>
            <w:r w:rsidRPr="00096503">
              <w:rPr>
                <w:rFonts w:cs="Times New Roman"/>
                <w:b/>
                <w:bCs/>
                <w:i/>
                <w:iCs/>
                <w:sz w:val="20"/>
                <w:szCs w:val="20"/>
                <w:lang w:eastAsia="ru-RU"/>
              </w:rPr>
              <w:t>,</w:t>
            </w:r>
            <w:r w:rsidRPr="00096503">
              <w:rPr>
                <w:rFonts w:cs="Times New Roman"/>
                <w:b/>
                <w:bCs/>
                <w:i/>
                <w:iCs/>
                <w:sz w:val="20"/>
                <w:szCs w:val="20"/>
                <w:lang w:val="ro-RO" w:eastAsia="ru-RU"/>
              </w:rPr>
              <w:t>6</w:t>
            </w:r>
          </w:p>
        </w:tc>
        <w:tc>
          <w:tcPr>
            <w:tcW w:w="557" w:type="pct"/>
            <w:vAlign w:val="center"/>
          </w:tcPr>
          <w:p w14:paraId="6AC8CD7A" w14:textId="5F56F26F"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val="ro-RO" w:eastAsia="ru-RU"/>
              </w:rPr>
              <w:t>3</w:t>
            </w:r>
            <w:r w:rsidR="00450C0C">
              <w:rPr>
                <w:rFonts w:cs="Times New Roman"/>
                <w:b/>
                <w:bCs/>
                <w:i/>
                <w:iCs/>
                <w:sz w:val="20"/>
                <w:szCs w:val="20"/>
                <w:lang w:val="ro-RO" w:eastAsia="ru-RU"/>
              </w:rPr>
              <w:t>.</w:t>
            </w:r>
            <w:r w:rsidRPr="00096503">
              <w:rPr>
                <w:rFonts w:cs="Times New Roman"/>
                <w:b/>
                <w:bCs/>
                <w:i/>
                <w:iCs/>
                <w:sz w:val="20"/>
                <w:szCs w:val="20"/>
                <w:lang w:val="ro-RO" w:eastAsia="ru-RU"/>
              </w:rPr>
              <w:t>561,8</w:t>
            </w:r>
          </w:p>
        </w:tc>
        <w:tc>
          <w:tcPr>
            <w:tcW w:w="551" w:type="pct"/>
            <w:vAlign w:val="center"/>
          </w:tcPr>
          <w:p w14:paraId="347FB90F" w14:textId="030B3677"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eastAsia="ru-RU"/>
              </w:rPr>
              <w:t>2.</w:t>
            </w:r>
            <w:r w:rsidRPr="00096503">
              <w:rPr>
                <w:rFonts w:cs="Times New Roman"/>
                <w:b/>
                <w:bCs/>
                <w:i/>
                <w:iCs/>
                <w:sz w:val="20"/>
                <w:szCs w:val="20"/>
                <w:lang w:val="ro-RO" w:eastAsia="ru-RU"/>
              </w:rPr>
              <w:t>229</w:t>
            </w:r>
            <w:r w:rsidRPr="00096503">
              <w:rPr>
                <w:rFonts w:cs="Times New Roman"/>
                <w:b/>
                <w:bCs/>
                <w:i/>
                <w:iCs/>
                <w:sz w:val="20"/>
                <w:szCs w:val="20"/>
                <w:lang w:eastAsia="ru-RU"/>
              </w:rPr>
              <w:t>,</w:t>
            </w:r>
            <w:r w:rsidRPr="00096503">
              <w:rPr>
                <w:rFonts w:cs="Times New Roman"/>
                <w:b/>
                <w:bCs/>
                <w:i/>
                <w:iCs/>
                <w:sz w:val="20"/>
                <w:szCs w:val="20"/>
                <w:lang w:val="ro-RO" w:eastAsia="ru-RU"/>
              </w:rPr>
              <w:t>1</w:t>
            </w:r>
          </w:p>
        </w:tc>
        <w:tc>
          <w:tcPr>
            <w:tcW w:w="551" w:type="pct"/>
          </w:tcPr>
          <w:p w14:paraId="2AA87B7F" w14:textId="1CB38DED" w:rsidR="007B5270" w:rsidRPr="00096503" w:rsidRDefault="00096503" w:rsidP="007B5270">
            <w:pPr>
              <w:spacing w:after="0"/>
              <w:jc w:val="center"/>
              <w:rPr>
                <w:rFonts w:cs="Times New Roman"/>
                <w:b/>
                <w:bCs/>
                <w:i/>
                <w:iCs/>
                <w:sz w:val="20"/>
                <w:szCs w:val="20"/>
                <w:lang w:val="ro-RO" w:eastAsia="ru-RU"/>
              </w:rPr>
            </w:pPr>
            <w:r w:rsidRPr="00096503">
              <w:rPr>
                <w:rFonts w:cs="Times New Roman"/>
                <w:b/>
                <w:bCs/>
                <w:i/>
                <w:iCs/>
                <w:sz w:val="20"/>
                <w:szCs w:val="20"/>
                <w:lang w:val="ro-RO" w:eastAsia="ru-RU"/>
              </w:rPr>
              <w:t>2.205,0</w:t>
            </w:r>
          </w:p>
        </w:tc>
      </w:tr>
    </w:tbl>
    <w:p w14:paraId="33EE6F2F" w14:textId="77777777" w:rsidR="006A2852" w:rsidRPr="00E62A7F" w:rsidRDefault="006A2852" w:rsidP="006A2852">
      <w:pPr>
        <w:tabs>
          <w:tab w:val="left" w:pos="993"/>
        </w:tabs>
        <w:spacing w:after="0"/>
        <w:ind w:firstLine="540"/>
        <w:jc w:val="both"/>
        <w:rPr>
          <w:color w:val="0070C0"/>
          <w:sz w:val="24"/>
          <w:szCs w:val="24"/>
          <w:lang w:val="ro-RO"/>
        </w:rPr>
      </w:pPr>
    </w:p>
    <w:p w14:paraId="5D2C2016" w14:textId="69F74C8E" w:rsidR="006A2852" w:rsidRPr="006A6D26" w:rsidRDefault="006A2852" w:rsidP="006A2852">
      <w:pPr>
        <w:tabs>
          <w:tab w:val="left" w:pos="993"/>
        </w:tabs>
        <w:spacing w:after="0"/>
        <w:ind w:firstLine="540"/>
        <w:jc w:val="both"/>
        <w:rPr>
          <w:sz w:val="24"/>
          <w:szCs w:val="24"/>
          <w:lang w:val="ro-RO"/>
        </w:rPr>
      </w:pPr>
      <w:r w:rsidRPr="006A6D26">
        <w:rPr>
          <w:sz w:val="24"/>
          <w:szCs w:val="24"/>
          <w:lang w:val="ro-RO"/>
        </w:rPr>
        <w:t xml:space="preserve">Din perspectiva finanțării, prezentul Program </w:t>
      </w:r>
      <w:r w:rsidR="006A6D26" w:rsidRPr="006A6D26">
        <w:rPr>
          <w:sz w:val="24"/>
          <w:szCs w:val="24"/>
          <w:lang w:val="ro-RO"/>
        </w:rPr>
        <w:t>v</w:t>
      </w:r>
      <w:r w:rsidRPr="006A6D26">
        <w:rPr>
          <w:sz w:val="24"/>
          <w:szCs w:val="24"/>
          <w:lang w:val="ro-RO"/>
        </w:rPr>
        <w:t>a fi bazat pe principiile de sinergie și complementaritate dintre resursele financiare publice și cele atrase, inclusiv de la partenerii de dezvoltare. O parte din obiectivele și acțiunile propuse pentru realizarea prezentului Program vor fi acoperite din sursele financiare planificate în Cadrul bugetar pe termen mediu, precum și din contul și în limitele alocațiilor prevăzute în aceste scopuri în bugetele autorităților și instituțiilor responsabile de implementare.</w:t>
      </w:r>
    </w:p>
    <w:p w14:paraId="00D7C6CF" w14:textId="3E6870EC" w:rsidR="006A2852" w:rsidRPr="006D25BE" w:rsidRDefault="006A2852" w:rsidP="006A2852">
      <w:pPr>
        <w:tabs>
          <w:tab w:val="left" w:pos="993"/>
        </w:tabs>
        <w:spacing w:after="0"/>
        <w:ind w:firstLine="540"/>
        <w:jc w:val="both"/>
        <w:rPr>
          <w:sz w:val="24"/>
          <w:szCs w:val="24"/>
          <w:lang w:val="ro-RO"/>
        </w:rPr>
      </w:pPr>
      <w:r w:rsidRPr="006D25BE">
        <w:rPr>
          <w:sz w:val="24"/>
          <w:szCs w:val="24"/>
          <w:lang w:val="ro-RO"/>
        </w:rPr>
        <w:t>Valoarea estimativă a resurselor financiare necesare pentru implementarea prezentului Program pe parcursul anilor 202</w:t>
      </w:r>
      <w:r w:rsidR="006D25BE" w:rsidRPr="006D25BE">
        <w:rPr>
          <w:sz w:val="24"/>
          <w:szCs w:val="24"/>
          <w:lang w:val="ro-RO"/>
        </w:rPr>
        <w:t>6</w:t>
      </w:r>
      <w:r w:rsidRPr="006D25BE">
        <w:rPr>
          <w:sz w:val="24"/>
          <w:szCs w:val="24"/>
          <w:lang w:val="ro-RO"/>
        </w:rPr>
        <w:t>-20</w:t>
      </w:r>
      <w:r w:rsidR="006D25BE" w:rsidRPr="006D25BE">
        <w:rPr>
          <w:sz w:val="24"/>
          <w:szCs w:val="24"/>
          <w:lang w:val="ro-RO"/>
        </w:rPr>
        <w:t>30</w:t>
      </w:r>
      <w:r w:rsidRPr="006D25BE">
        <w:rPr>
          <w:sz w:val="24"/>
          <w:szCs w:val="24"/>
          <w:lang w:val="ro-RO"/>
        </w:rPr>
        <w:t xml:space="preserve">, </w:t>
      </w:r>
      <w:r w:rsidRPr="005349DF">
        <w:rPr>
          <w:sz w:val="24"/>
          <w:szCs w:val="24"/>
          <w:lang w:val="ro-RO"/>
        </w:rPr>
        <w:t xml:space="preserve">constituie </w:t>
      </w:r>
      <w:r w:rsidR="005349DF" w:rsidRPr="005349DF">
        <w:rPr>
          <w:sz w:val="24"/>
          <w:szCs w:val="24"/>
        </w:rPr>
        <w:t>1.5</w:t>
      </w:r>
      <w:r w:rsidR="005349DF" w:rsidRPr="005349DF">
        <w:rPr>
          <w:sz w:val="24"/>
          <w:szCs w:val="24"/>
          <w:lang w:val="ro-RO"/>
        </w:rPr>
        <w:t>92</w:t>
      </w:r>
      <w:r w:rsidR="005349DF" w:rsidRPr="005349DF">
        <w:rPr>
          <w:sz w:val="24"/>
          <w:szCs w:val="24"/>
        </w:rPr>
        <w:t>.</w:t>
      </w:r>
      <w:r w:rsidR="005349DF" w:rsidRPr="005349DF">
        <w:rPr>
          <w:sz w:val="24"/>
          <w:szCs w:val="24"/>
          <w:lang w:val="ro-RO"/>
        </w:rPr>
        <w:t>903</w:t>
      </w:r>
      <w:r w:rsidR="005349DF" w:rsidRPr="005349DF">
        <w:rPr>
          <w:sz w:val="24"/>
          <w:szCs w:val="24"/>
        </w:rPr>
        <w:t>,</w:t>
      </w:r>
      <w:r w:rsidR="005349DF" w:rsidRPr="005349DF">
        <w:rPr>
          <w:sz w:val="24"/>
          <w:szCs w:val="24"/>
          <w:lang w:val="ro-RO"/>
        </w:rPr>
        <w:t>2</w:t>
      </w:r>
      <w:r w:rsidR="005349DF">
        <w:rPr>
          <w:b/>
          <w:bCs/>
          <w:sz w:val="24"/>
          <w:szCs w:val="24"/>
          <w:lang w:val="ro-RO"/>
        </w:rPr>
        <w:t xml:space="preserve"> </w:t>
      </w:r>
      <w:r w:rsidRPr="006D25BE">
        <w:rPr>
          <w:sz w:val="24"/>
          <w:szCs w:val="24"/>
          <w:lang w:val="ro-RO"/>
        </w:rPr>
        <w:t>mii lei</w:t>
      </w:r>
      <w:r w:rsidR="00540061">
        <w:rPr>
          <w:sz w:val="24"/>
          <w:szCs w:val="24"/>
          <w:lang w:val="ro-RO"/>
        </w:rPr>
        <w:t>,</w:t>
      </w:r>
      <w:r w:rsidR="00540061" w:rsidRPr="00540061">
        <w:t xml:space="preserve"> </w:t>
      </w:r>
      <w:r w:rsidR="00540061" w:rsidRPr="00540061">
        <w:rPr>
          <w:sz w:val="24"/>
          <w:szCs w:val="24"/>
          <w:lang w:val="ro-RO"/>
        </w:rPr>
        <w:t xml:space="preserve">dintre care </w:t>
      </w:r>
      <w:r w:rsidR="00540061" w:rsidRPr="00540061">
        <w:rPr>
          <w:rFonts w:cs="Times New Roman"/>
          <w:sz w:val="24"/>
          <w:szCs w:val="24"/>
          <w:lang w:val="ro-RO" w:eastAsia="ru-RU"/>
        </w:rPr>
        <w:t>1.484.772,5</w:t>
      </w:r>
      <w:r w:rsidR="00540061">
        <w:rPr>
          <w:rFonts w:cs="Times New Roman"/>
          <w:sz w:val="24"/>
          <w:szCs w:val="24"/>
          <w:lang w:val="ro-RO" w:eastAsia="ru-RU"/>
        </w:rPr>
        <w:t xml:space="preserve"> mii</w:t>
      </w:r>
      <w:r w:rsidR="00540061">
        <w:rPr>
          <w:rFonts w:cs="Times New Roman"/>
          <w:b/>
          <w:bCs/>
          <w:i/>
          <w:iCs/>
          <w:sz w:val="20"/>
          <w:szCs w:val="20"/>
          <w:lang w:val="ro-RO" w:eastAsia="ru-RU"/>
        </w:rPr>
        <w:t xml:space="preserve"> </w:t>
      </w:r>
      <w:r w:rsidR="00540061" w:rsidRPr="00540061">
        <w:rPr>
          <w:sz w:val="24"/>
          <w:szCs w:val="24"/>
          <w:lang w:val="ro-RO"/>
        </w:rPr>
        <w:t>lei sunt cheltuieli din bugetul de stat</w:t>
      </w:r>
      <w:r w:rsidR="00540061">
        <w:rPr>
          <w:sz w:val="24"/>
          <w:szCs w:val="24"/>
          <w:lang w:val="ro-RO"/>
        </w:rPr>
        <w:t>.</w:t>
      </w:r>
    </w:p>
    <w:p w14:paraId="70F2AC5E" w14:textId="359FEB20" w:rsidR="006A2852" w:rsidRPr="006D25BE" w:rsidRDefault="006A2852" w:rsidP="006A2852">
      <w:pPr>
        <w:tabs>
          <w:tab w:val="left" w:pos="993"/>
        </w:tabs>
        <w:spacing w:after="0"/>
        <w:ind w:firstLine="540"/>
        <w:jc w:val="both"/>
        <w:rPr>
          <w:rFonts w:eastAsia="Calibri"/>
          <w:sz w:val="24"/>
          <w:szCs w:val="24"/>
          <w:lang w:val="ro-RO"/>
        </w:rPr>
      </w:pPr>
      <w:r w:rsidRPr="006D25BE">
        <w:rPr>
          <w:rFonts w:eastAsia="Calibri"/>
          <w:sz w:val="24"/>
          <w:szCs w:val="24"/>
          <w:lang w:val="ro-RO"/>
        </w:rPr>
        <w:t xml:space="preserve">Potrivit pct. 1 lit. f) din Ordinul ministrului finanțelor nr. 208/2015 privind clasificația bugetară”, anexa nr. 7, prin care au fost aprobate programele și subprogramele, Programul „Afaceri interne” este constituit din </w:t>
      </w:r>
      <w:r w:rsidR="008432F1">
        <w:rPr>
          <w:rFonts w:eastAsia="Calibri"/>
          <w:sz w:val="24"/>
          <w:szCs w:val="24"/>
          <w:lang w:val="ro-RO"/>
        </w:rPr>
        <w:t>6</w:t>
      </w:r>
      <w:r w:rsidRPr="006D25BE">
        <w:rPr>
          <w:rFonts w:eastAsia="Calibri"/>
          <w:sz w:val="24"/>
          <w:szCs w:val="24"/>
          <w:lang w:val="ro-RO"/>
        </w:rPr>
        <w:t xml:space="preserve"> subprograme:</w:t>
      </w:r>
    </w:p>
    <w:p w14:paraId="7C55554E" w14:textId="77777777" w:rsidR="008432F1" w:rsidRPr="008432F1" w:rsidRDefault="008432F1" w:rsidP="008432F1">
      <w:pPr>
        <w:numPr>
          <w:ilvl w:val="0"/>
          <w:numId w:val="21"/>
        </w:numPr>
        <w:tabs>
          <w:tab w:val="left" w:pos="851"/>
        </w:tabs>
        <w:spacing w:after="0"/>
        <w:ind w:hanging="2345"/>
        <w:contextualSpacing/>
        <w:jc w:val="both"/>
        <w:rPr>
          <w:rFonts w:eastAsia="Calibri"/>
          <w:sz w:val="24"/>
          <w:szCs w:val="24"/>
          <w:lang w:val="ro-RO"/>
        </w:rPr>
      </w:pPr>
      <w:r w:rsidRPr="008432F1">
        <w:rPr>
          <w:rFonts w:eastAsia="Calibri"/>
          <w:sz w:val="24"/>
          <w:szCs w:val="24"/>
          <w:lang w:val="ro-RO"/>
        </w:rPr>
        <w:t xml:space="preserve">Politici </w:t>
      </w:r>
      <w:proofErr w:type="spellStart"/>
      <w:r w:rsidRPr="008432F1">
        <w:rPr>
          <w:rFonts w:eastAsia="Calibri"/>
          <w:sz w:val="24"/>
          <w:szCs w:val="24"/>
          <w:lang w:val="ro-RO"/>
        </w:rPr>
        <w:t>şi</w:t>
      </w:r>
      <w:proofErr w:type="spellEnd"/>
      <w:r w:rsidRPr="008432F1">
        <w:rPr>
          <w:rFonts w:eastAsia="Calibri"/>
          <w:sz w:val="24"/>
          <w:szCs w:val="24"/>
          <w:lang w:val="ro-RO"/>
        </w:rPr>
        <w:t xml:space="preserve"> management în domeniul afacerilor interne</w:t>
      </w:r>
    </w:p>
    <w:p w14:paraId="70B69821" w14:textId="77777777" w:rsidR="008432F1" w:rsidRPr="008432F1" w:rsidRDefault="008432F1" w:rsidP="008432F1">
      <w:pPr>
        <w:numPr>
          <w:ilvl w:val="0"/>
          <w:numId w:val="21"/>
        </w:numPr>
        <w:tabs>
          <w:tab w:val="left" w:pos="851"/>
        </w:tabs>
        <w:spacing w:after="0"/>
        <w:ind w:hanging="2345"/>
        <w:contextualSpacing/>
        <w:jc w:val="both"/>
        <w:rPr>
          <w:rFonts w:eastAsia="Calibri"/>
          <w:sz w:val="24"/>
          <w:szCs w:val="24"/>
          <w:lang w:val="ro-RO"/>
        </w:rPr>
      </w:pPr>
      <w:r w:rsidRPr="008432F1">
        <w:rPr>
          <w:rFonts w:eastAsia="Calibri"/>
          <w:sz w:val="24"/>
          <w:szCs w:val="24"/>
          <w:lang w:val="ro-RO"/>
        </w:rPr>
        <w:t xml:space="preserve">Ordine </w:t>
      </w:r>
      <w:proofErr w:type="spellStart"/>
      <w:r w:rsidRPr="008432F1">
        <w:rPr>
          <w:rFonts w:eastAsia="Calibri"/>
          <w:sz w:val="24"/>
          <w:szCs w:val="24"/>
          <w:lang w:val="ro-RO"/>
        </w:rPr>
        <w:t>şi</w:t>
      </w:r>
      <w:proofErr w:type="spellEnd"/>
      <w:r w:rsidRPr="008432F1">
        <w:rPr>
          <w:rFonts w:eastAsia="Calibri"/>
          <w:sz w:val="24"/>
          <w:szCs w:val="24"/>
          <w:lang w:val="ro-RO"/>
        </w:rPr>
        <w:t xml:space="preserve"> </w:t>
      </w:r>
      <w:proofErr w:type="spellStart"/>
      <w:r w:rsidRPr="008432F1">
        <w:rPr>
          <w:rFonts w:eastAsia="Calibri"/>
          <w:sz w:val="24"/>
          <w:szCs w:val="24"/>
          <w:lang w:val="ro-RO"/>
        </w:rPr>
        <w:t>siguranţă</w:t>
      </w:r>
      <w:proofErr w:type="spellEnd"/>
      <w:r w:rsidRPr="008432F1">
        <w:rPr>
          <w:rFonts w:eastAsia="Calibri"/>
          <w:sz w:val="24"/>
          <w:szCs w:val="24"/>
          <w:lang w:val="ro-RO"/>
        </w:rPr>
        <w:t xml:space="preserve"> publică</w:t>
      </w:r>
    </w:p>
    <w:p w14:paraId="27F72180" w14:textId="77777777" w:rsidR="008432F1" w:rsidRPr="008432F1" w:rsidRDefault="008432F1" w:rsidP="008432F1">
      <w:pPr>
        <w:numPr>
          <w:ilvl w:val="0"/>
          <w:numId w:val="21"/>
        </w:numPr>
        <w:tabs>
          <w:tab w:val="left" w:pos="851"/>
        </w:tabs>
        <w:spacing w:after="0"/>
        <w:ind w:hanging="2345"/>
        <w:contextualSpacing/>
        <w:jc w:val="both"/>
        <w:rPr>
          <w:rFonts w:eastAsia="Calibri"/>
          <w:sz w:val="24"/>
          <w:szCs w:val="24"/>
          <w:lang w:val="ro-RO"/>
        </w:rPr>
      </w:pPr>
      <w:proofErr w:type="spellStart"/>
      <w:r w:rsidRPr="008432F1">
        <w:rPr>
          <w:rFonts w:eastAsia="Calibri"/>
          <w:sz w:val="24"/>
          <w:szCs w:val="24"/>
          <w:lang w:val="ro-RO"/>
        </w:rPr>
        <w:t>Migraţie</w:t>
      </w:r>
      <w:proofErr w:type="spellEnd"/>
      <w:r w:rsidRPr="008432F1">
        <w:rPr>
          <w:rFonts w:eastAsia="Calibri"/>
          <w:sz w:val="24"/>
          <w:szCs w:val="24"/>
          <w:lang w:val="ro-RO"/>
        </w:rPr>
        <w:t xml:space="preserve"> </w:t>
      </w:r>
      <w:proofErr w:type="spellStart"/>
      <w:r w:rsidRPr="008432F1">
        <w:rPr>
          <w:rFonts w:eastAsia="Calibri"/>
          <w:sz w:val="24"/>
          <w:szCs w:val="24"/>
          <w:lang w:val="ro-RO"/>
        </w:rPr>
        <w:t>şi</w:t>
      </w:r>
      <w:proofErr w:type="spellEnd"/>
      <w:r w:rsidRPr="008432F1">
        <w:rPr>
          <w:rFonts w:eastAsia="Calibri"/>
          <w:sz w:val="24"/>
          <w:szCs w:val="24"/>
          <w:lang w:val="ro-RO"/>
        </w:rPr>
        <w:t xml:space="preserve"> Azil</w:t>
      </w:r>
    </w:p>
    <w:p w14:paraId="4ECCFA8C" w14:textId="77777777" w:rsidR="008432F1" w:rsidRPr="008432F1" w:rsidRDefault="008432F1" w:rsidP="008432F1">
      <w:pPr>
        <w:numPr>
          <w:ilvl w:val="0"/>
          <w:numId w:val="21"/>
        </w:numPr>
        <w:tabs>
          <w:tab w:val="left" w:pos="851"/>
        </w:tabs>
        <w:spacing w:after="0"/>
        <w:ind w:hanging="2345"/>
        <w:contextualSpacing/>
        <w:jc w:val="both"/>
        <w:rPr>
          <w:rFonts w:eastAsia="Calibri"/>
          <w:sz w:val="24"/>
          <w:szCs w:val="24"/>
          <w:lang w:val="ro-RO"/>
        </w:rPr>
      </w:pPr>
      <w:r w:rsidRPr="008432F1">
        <w:rPr>
          <w:rFonts w:eastAsia="Calibri"/>
          <w:sz w:val="24"/>
          <w:szCs w:val="24"/>
          <w:lang w:val="ro-RO"/>
        </w:rPr>
        <w:t>Trupe de carabinieri</w:t>
      </w:r>
    </w:p>
    <w:p w14:paraId="28B4BEE7" w14:textId="77777777" w:rsidR="008432F1" w:rsidRPr="008432F1" w:rsidRDefault="008432F1" w:rsidP="008432F1">
      <w:pPr>
        <w:numPr>
          <w:ilvl w:val="0"/>
          <w:numId w:val="21"/>
        </w:numPr>
        <w:tabs>
          <w:tab w:val="left" w:pos="851"/>
        </w:tabs>
        <w:spacing w:after="0"/>
        <w:ind w:hanging="2345"/>
        <w:contextualSpacing/>
        <w:jc w:val="both"/>
        <w:rPr>
          <w:rFonts w:eastAsia="Calibri"/>
          <w:sz w:val="24"/>
          <w:szCs w:val="24"/>
          <w:lang w:val="ro-RO"/>
        </w:rPr>
      </w:pPr>
      <w:r w:rsidRPr="008432F1">
        <w:rPr>
          <w:rFonts w:eastAsia="Calibri"/>
          <w:sz w:val="24"/>
          <w:szCs w:val="24"/>
          <w:lang w:val="ro-RO"/>
        </w:rPr>
        <w:t>Servicii de suport în domeniul afacerilor interne</w:t>
      </w:r>
    </w:p>
    <w:p w14:paraId="68FA40C5" w14:textId="390C68ED" w:rsidR="008432F1" w:rsidRPr="008432F1" w:rsidRDefault="008432F1" w:rsidP="008432F1">
      <w:pPr>
        <w:numPr>
          <w:ilvl w:val="0"/>
          <w:numId w:val="21"/>
        </w:numPr>
        <w:tabs>
          <w:tab w:val="left" w:pos="851"/>
        </w:tabs>
        <w:spacing w:after="0"/>
        <w:ind w:hanging="2345"/>
        <w:contextualSpacing/>
        <w:jc w:val="both"/>
        <w:rPr>
          <w:rFonts w:eastAsia="Calibri"/>
          <w:sz w:val="24"/>
          <w:szCs w:val="24"/>
          <w:lang w:val="ro-RO"/>
        </w:rPr>
      </w:pPr>
      <w:r w:rsidRPr="008432F1">
        <w:rPr>
          <w:rFonts w:eastAsia="Calibri"/>
          <w:sz w:val="24"/>
          <w:szCs w:val="24"/>
          <w:lang w:val="ro-RO"/>
        </w:rPr>
        <w:t xml:space="preserve">Cercetări </w:t>
      </w:r>
      <w:proofErr w:type="spellStart"/>
      <w:r w:rsidRPr="008432F1">
        <w:rPr>
          <w:rFonts w:eastAsia="Calibri"/>
          <w:sz w:val="24"/>
          <w:szCs w:val="24"/>
          <w:lang w:val="ro-RO"/>
        </w:rPr>
        <w:t>ştiinţifice</w:t>
      </w:r>
      <w:proofErr w:type="spellEnd"/>
      <w:r w:rsidRPr="008432F1">
        <w:rPr>
          <w:rFonts w:eastAsia="Calibri"/>
          <w:sz w:val="24"/>
          <w:szCs w:val="24"/>
          <w:lang w:val="ro-RO"/>
        </w:rPr>
        <w:t xml:space="preserve"> aplicate în domeniul afacerilor interne</w:t>
      </w:r>
    </w:p>
    <w:p w14:paraId="5E7C5FA5" w14:textId="7549C1EA" w:rsidR="006A2852" w:rsidRDefault="006A2852" w:rsidP="006A2852">
      <w:pPr>
        <w:tabs>
          <w:tab w:val="left" w:pos="993"/>
        </w:tabs>
        <w:spacing w:after="0"/>
        <w:ind w:firstLine="540"/>
        <w:jc w:val="both"/>
        <w:rPr>
          <w:rFonts w:eastAsia="Calibri"/>
          <w:sz w:val="24"/>
          <w:szCs w:val="24"/>
          <w:lang w:val="ro-RO"/>
        </w:rPr>
      </w:pPr>
      <w:r w:rsidRPr="006D25BE">
        <w:rPr>
          <w:rFonts w:eastAsia="Calibri"/>
          <w:sz w:val="24"/>
          <w:szCs w:val="24"/>
          <w:lang w:val="ro-RO"/>
        </w:rPr>
        <w:t xml:space="preserve">Pentru implementarea </w:t>
      </w:r>
      <w:r w:rsidR="008432F1">
        <w:rPr>
          <w:rFonts w:eastAsia="Calibri"/>
          <w:sz w:val="24"/>
          <w:szCs w:val="24"/>
          <w:lang w:val="ro-RO"/>
        </w:rPr>
        <w:t>Programului</w:t>
      </w:r>
      <w:r w:rsidRPr="006D25BE">
        <w:rPr>
          <w:rFonts w:eastAsia="Calibri"/>
          <w:sz w:val="24"/>
          <w:szCs w:val="24"/>
          <w:lang w:val="ro-RO"/>
        </w:rPr>
        <w:t xml:space="preserve"> costurile financiare urmează a fi acoperite de subprogramele</w:t>
      </w:r>
      <w:r w:rsidR="008432F1">
        <w:rPr>
          <w:rFonts w:eastAsia="Calibri"/>
          <w:sz w:val="24"/>
          <w:szCs w:val="24"/>
          <w:lang w:val="ro-RO"/>
        </w:rPr>
        <w:t xml:space="preserve"> 35.01 </w:t>
      </w:r>
      <w:r w:rsidR="008432F1" w:rsidRPr="008432F1">
        <w:rPr>
          <w:rFonts w:eastAsia="Calibri"/>
          <w:sz w:val="24"/>
          <w:szCs w:val="24"/>
          <w:lang w:val="ro-RO"/>
        </w:rPr>
        <w:t>,,</w:t>
      </w:r>
      <w:r w:rsidR="008432F1" w:rsidRPr="008432F1">
        <w:rPr>
          <w:sz w:val="24"/>
          <w:szCs w:val="24"/>
          <w:lang w:val="ro-RO"/>
        </w:rPr>
        <w:t xml:space="preserve">Politici </w:t>
      </w:r>
      <w:proofErr w:type="spellStart"/>
      <w:r w:rsidR="008432F1" w:rsidRPr="008432F1">
        <w:rPr>
          <w:sz w:val="24"/>
          <w:szCs w:val="24"/>
          <w:lang w:val="ro-RO"/>
        </w:rPr>
        <w:t>şi</w:t>
      </w:r>
      <w:proofErr w:type="spellEnd"/>
      <w:r w:rsidR="008432F1" w:rsidRPr="008432F1">
        <w:rPr>
          <w:sz w:val="24"/>
          <w:szCs w:val="24"/>
          <w:lang w:val="ro-RO"/>
        </w:rPr>
        <w:t xml:space="preserve"> management în domeniul afacerilor interne”</w:t>
      </w:r>
      <w:r w:rsidR="008432F1">
        <w:rPr>
          <w:sz w:val="24"/>
          <w:szCs w:val="24"/>
          <w:lang w:val="ro-RO"/>
        </w:rPr>
        <w:t>,</w:t>
      </w:r>
      <w:r w:rsidRPr="008432F1">
        <w:rPr>
          <w:rFonts w:eastAsia="Calibri"/>
          <w:sz w:val="24"/>
          <w:szCs w:val="24"/>
          <w:lang w:val="ro-RO"/>
        </w:rPr>
        <w:t xml:space="preserve"> </w:t>
      </w:r>
      <w:r w:rsidRPr="006D25BE">
        <w:rPr>
          <w:rFonts w:eastAsia="Calibri"/>
          <w:sz w:val="24"/>
          <w:szCs w:val="24"/>
          <w:lang w:val="ro-RO"/>
        </w:rPr>
        <w:t>35.02 „Ordine și siguranță publică”</w:t>
      </w:r>
      <w:r w:rsidR="008432F1">
        <w:rPr>
          <w:rFonts w:eastAsia="Calibri"/>
          <w:sz w:val="24"/>
          <w:szCs w:val="24"/>
          <w:lang w:val="ro-RO"/>
        </w:rPr>
        <w:t>,</w:t>
      </w:r>
      <w:r w:rsidRPr="006D25BE">
        <w:rPr>
          <w:rFonts w:eastAsia="Calibri"/>
          <w:sz w:val="24"/>
          <w:szCs w:val="24"/>
          <w:lang w:val="ro-RO"/>
        </w:rPr>
        <w:t xml:space="preserve"> 35.04 </w:t>
      </w:r>
      <w:r w:rsidRPr="006D25BE">
        <w:rPr>
          <w:rFonts w:eastAsia="Calibri"/>
          <w:iCs/>
          <w:sz w:val="24"/>
          <w:szCs w:val="24"/>
          <w:lang w:val="ro-RO"/>
        </w:rPr>
        <w:t>„Trupe de carabinieri”</w:t>
      </w:r>
      <w:r w:rsidRPr="006D25BE">
        <w:rPr>
          <w:rFonts w:eastAsia="Calibri"/>
          <w:sz w:val="24"/>
          <w:szCs w:val="24"/>
          <w:lang w:val="ro-RO"/>
        </w:rPr>
        <w:t xml:space="preserve"> </w:t>
      </w:r>
      <w:r w:rsidR="008432F1">
        <w:rPr>
          <w:rFonts w:eastAsia="Calibri"/>
          <w:sz w:val="24"/>
          <w:szCs w:val="24"/>
          <w:lang w:val="ro-RO"/>
        </w:rPr>
        <w:t>și 35.05 ,,</w:t>
      </w:r>
      <w:r w:rsidR="008432F1" w:rsidRPr="008432F1">
        <w:rPr>
          <w:rFonts w:eastAsia="Calibri"/>
          <w:sz w:val="24"/>
          <w:szCs w:val="24"/>
          <w:lang w:val="ro-RO"/>
        </w:rPr>
        <w:t>Servicii de suport în domeniul afacerilor interne</w:t>
      </w:r>
      <w:r w:rsidR="008432F1">
        <w:rPr>
          <w:rFonts w:eastAsia="Calibri"/>
          <w:sz w:val="24"/>
          <w:szCs w:val="24"/>
          <w:lang w:val="ro-RO"/>
        </w:rPr>
        <w:t>”</w:t>
      </w:r>
      <w:r w:rsidR="008432F1" w:rsidRPr="008432F1">
        <w:rPr>
          <w:rFonts w:eastAsia="Calibri"/>
          <w:sz w:val="24"/>
          <w:szCs w:val="24"/>
          <w:lang w:val="ro-RO"/>
        </w:rPr>
        <w:t xml:space="preserve"> </w:t>
      </w:r>
      <w:r w:rsidR="008432F1" w:rsidRPr="006D25BE">
        <w:rPr>
          <w:rFonts w:eastAsia="Calibri"/>
          <w:sz w:val="24"/>
          <w:szCs w:val="24"/>
          <w:lang w:val="ro-RO"/>
        </w:rPr>
        <w:t>ale Programului „Afaceri Interne”.</w:t>
      </w:r>
    </w:p>
    <w:p w14:paraId="5C088AEB" w14:textId="78AB9A9C" w:rsidR="008432F1" w:rsidRDefault="008432F1" w:rsidP="00A15685">
      <w:pPr>
        <w:tabs>
          <w:tab w:val="left" w:pos="993"/>
        </w:tabs>
        <w:spacing w:after="0"/>
        <w:ind w:firstLine="540"/>
        <w:jc w:val="both"/>
        <w:rPr>
          <w:rFonts w:eastAsia="Calibri"/>
          <w:sz w:val="24"/>
          <w:szCs w:val="24"/>
          <w:lang w:val="ro-RO"/>
        </w:rPr>
      </w:pPr>
      <w:r w:rsidRPr="008432F1">
        <w:rPr>
          <w:rFonts w:eastAsia="Calibri"/>
          <w:sz w:val="24"/>
          <w:szCs w:val="24"/>
          <w:lang w:val="ro-RO"/>
        </w:rPr>
        <w:t>Subsidiar, pentru implementarea Programului urmează a fi utilizate sursele financiare acoperite de subprogramele: 88.12 ,,</w:t>
      </w:r>
      <w:proofErr w:type="spellStart"/>
      <w:r w:rsidRPr="008432F1">
        <w:rPr>
          <w:rFonts w:eastAsia="Calibri"/>
          <w:sz w:val="24"/>
          <w:szCs w:val="24"/>
          <w:lang w:val="ro-RO"/>
        </w:rPr>
        <w:t>Perfecţionarea</w:t>
      </w:r>
      <w:proofErr w:type="spellEnd"/>
      <w:r w:rsidRPr="008432F1">
        <w:rPr>
          <w:rFonts w:eastAsia="Calibri"/>
          <w:sz w:val="24"/>
          <w:szCs w:val="24"/>
          <w:lang w:val="ro-RO"/>
        </w:rPr>
        <w:t xml:space="preserve"> cadrelor”</w:t>
      </w:r>
      <w:r w:rsidRPr="008432F1">
        <w:rPr>
          <w:sz w:val="24"/>
          <w:szCs w:val="24"/>
        </w:rPr>
        <w:t xml:space="preserve"> </w:t>
      </w:r>
      <w:r w:rsidRPr="008432F1">
        <w:rPr>
          <w:sz w:val="24"/>
          <w:szCs w:val="24"/>
          <w:lang w:val="ro-RO"/>
        </w:rPr>
        <w:t>al programului ,,</w:t>
      </w:r>
      <w:proofErr w:type="spellStart"/>
      <w:r w:rsidRPr="008432F1">
        <w:rPr>
          <w:rFonts w:eastAsia="Calibri"/>
          <w:sz w:val="24"/>
          <w:szCs w:val="24"/>
          <w:lang w:val="ro-RO"/>
        </w:rPr>
        <w:t>Învăţămînt</w:t>
      </w:r>
      <w:proofErr w:type="spellEnd"/>
      <w:r w:rsidRPr="008432F1">
        <w:rPr>
          <w:rFonts w:eastAsia="Calibri"/>
          <w:sz w:val="24"/>
          <w:szCs w:val="24"/>
          <w:lang w:val="ro-RO"/>
        </w:rPr>
        <w:t>”</w:t>
      </w:r>
      <w:r>
        <w:rPr>
          <w:rFonts w:eastAsia="Calibri"/>
          <w:sz w:val="24"/>
          <w:szCs w:val="24"/>
          <w:lang w:val="ro-RO"/>
        </w:rPr>
        <w:t>; 40.12 ,,</w:t>
      </w:r>
      <w:r w:rsidRPr="008432F1">
        <w:rPr>
          <w:rFonts w:eastAsia="Calibri"/>
          <w:sz w:val="24"/>
          <w:szCs w:val="24"/>
          <w:lang w:val="ro-RO"/>
        </w:rPr>
        <w:t xml:space="preserve">Instruire </w:t>
      </w:r>
      <w:proofErr w:type="spellStart"/>
      <w:r w:rsidRPr="008432F1">
        <w:rPr>
          <w:rFonts w:eastAsia="Calibri"/>
          <w:sz w:val="24"/>
          <w:szCs w:val="24"/>
          <w:lang w:val="ro-RO"/>
        </w:rPr>
        <w:t>iniţială</w:t>
      </w:r>
      <w:proofErr w:type="spellEnd"/>
      <w:r w:rsidRPr="008432F1">
        <w:rPr>
          <w:rFonts w:eastAsia="Calibri"/>
          <w:sz w:val="24"/>
          <w:szCs w:val="24"/>
          <w:lang w:val="ro-RO"/>
        </w:rPr>
        <w:t xml:space="preserve"> </w:t>
      </w:r>
      <w:proofErr w:type="spellStart"/>
      <w:r w:rsidRPr="008432F1">
        <w:rPr>
          <w:rFonts w:eastAsia="Calibri"/>
          <w:sz w:val="24"/>
          <w:szCs w:val="24"/>
          <w:lang w:val="ro-RO"/>
        </w:rPr>
        <w:t>şi</w:t>
      </w:r>
      <w:proofErr w:type="spellEnd"/>
      <w:r w:rsidRPr="008432F1">
        <w:rPr>
          <w:rFonts w:eastAsia="Calibri"/>
          <w:sz w:val="24"/>
          <w:szCs w:val="24"/>
          <w:lang w:val="ro-RO"/>
        </w:rPr>
        <w:t xml:space="preserve"> continuă în domeniul </w:t>
      </w:r>
      <w:proofErr w:type="spellStart"/>
      <w:r w:rsidRPr="008432F1">
        <w:rPr>
          <w:rFonts w:eastAsia="Calibri"/>
          <w:sz w:val="24"/>
          <w:szCs w:val="24"/>
          <w:lang w:val="ro-RO"/>
        </w:rPr>
        <w:t>justiţiei</w:t>
      </w:r>
      <w:proofErr w:type="spellEnd"/>
      <w:r>
        <w:rPr>
          <w:rFonts w:eastAsia="Calibri"/>
          <w:sz w:val="24"/>
          <w:szCs w:val="24"/>
          <w:lang w:val="ro-RO"/>
        </w:rPr>
        <w:t>” al programului ,,Justiție”; 04.02 ,,</w:t>
      </w:r>
      <w:r w:rsidRPr="008432F1">
        <w:rPr>
          <w:rFonts w:eastAsia="Calibri"/>
          <w:sz w:val="24"/>
          <w:szCs w:val="24"/>
          <w:lang w:val="ro-RO"/>
        </w:rPr>
        <w:t xml:space="preserve">Respectarea drepturilor </w:t>
      </w:r>
      <w:proofErr w:type="spellStart"/>
      <w:r w:rsidRPr="008432F1">
        <w:rPr>
          <w:rFonts w:eastAsia="Calibri"/>
          <w:sz w:val="24"/>
          <w:szCs w:val="24"/>
          <w:lang w:val="ro-RO"/>
        </w:rPr>
        <w:t>şi</w:t>
      </w:r>
      <w:proofErr w:type="spellEnd"/>
      <w:r w:rsidRPr="008432F1">
        <w:rPr>
          <w:rFonts w:eastAsia="Calibri"/>
          <w:sz w:val="24"/>
          <w:szCs w:val="24"/>
          <w:lang w:val="ro-RO"/>
        </w:rPr>
        <w:t xml:space="preserve"> </w:t>
      </w:r>
      <w:proofErr w:type="spellStart"/>
      <w:r w:rsidRPr="008432F1">
        <w:rPr>
          <w:rFonts w:eastAsia="Calibri"/>
          <w:sz w:val="24"/>
          <w:szCs w:val="24"/>
          <w:lang w:val="ro-RO"/>
        </w:rPr>
        <w:t>libertăţilor</w:t>
      </w:r>
      <w:proofErr w:type="spellEnd"/>
      <w:r w:rsidRPr="008432F1">
        <w:rPr>
          <w:rFonts w:eastAsia="Calibri"/>
          <w:sz w:val="24"/>
          <w:szCs w:val="24"/>
          <w:lang w:val="ro-RO"/>
        </w:rPr>
        <w:t xml:space="preserve"> omului</w:t>
      </w:r>
      <w:r>
        <w:rPr>
          <w:rFonts w:eastAsia="Calibri"/>
          <w:sz w:val="24"/>
          <w:szCs w:val="24"/>
          <w:lang w:val="ro-RO"/>
        </w:rPr>
        <w:t>” și 04.03 ,,</w:t>
      </w:r>
      <w:proofErr w:type="spellStart"/>
      <w:r w:rsidRPr="008432F1">
        <w:rPr>
          <w:rFonts w:eastAsia="Calibri"/>
          <w:sz w:val="24"/>
          <w:szCs w:val="24"/>
          <w:lang w:val="ro-RO"/>
        </w:rPr>
        <w:t>Protecţia</w:t>
      </w:r>
      <w:proofErr w:type="spellEnd"/>
      <w:r w:rsidRPr="008432F1">
        <w:rPr>
          <w:rFonts w:eastAsia="Calibri"/>
          <w:sz w:val="24"/>
          <w:szCs w:val="24"/>
          <w:lang w:val="ro-RO"/>
        </w:rPr>
        <w:t xml:space="preserve"> împotriva discriminării</w:t>
      </w:r>
      <w:r>
        <w:rPr>
          <w:rFonts w:eastAsia="Calibri"/>
          <w:sz w:val="24"/>
          <w:szCs w:val="24"/>
          <w:lang w:val="ro-RO"/>
        </w:rPr>
        <w:t>” al programului ,,</w:t>
      </w:r>
      <w:proofErr w:type="spellStart"/>
      <w:r w:rsidRPr="008432F1">
        <w:rPr>
          <w:rFonts w:eastAsia="Calibri"/>
          <w:sz w:val="24"/>
          <w:szCs w:val="24"/>
          <w:lang w:val="ro-RO"/>
        </w:rPr>
        <w:t>Constituţionalitatea</w:t>
      </w:r>
      <w:proofErr w:type="spellEnd"/>
      <w:r>
        <w:rPr>
          <w:rFonts w:eastAsia="Calibri"/>
          <w:sz w:val="24"/>
          <w:szCs w:val="24"/>
          <w:lang w:val="ro-RO"/>
        </w:rPr>
        <w:t>”</w:t>
      </w:r>
      <w:r w:rsidR="00A15685">
        <w:rPr>
          <w:rFonts w:eastAsia="Calibri"/>
          <w:sz w:val="24"/>
          <w:szCs w:val="24"/>
          <w:lang w:val="ro-RO"/>
        </w:rPr>
        <w:t xml:space="preserve">; inclusiv </w:t>
      </w:r>
      <w:proofErr w:type="spellStart"/>
      <w:r w:rsidR="00A15685">
        <w:rPr>
          <w:rFonts w:eastAsia="Calibri"/>
          <w:sz w:val="24"/>
          <w:szCs w:val="24"/>
          <w:lang w:val="ro-RO"/>
        </w:rPr>
        <w:t>suresele</w:t>
      </w:r>
      <w:proofErr w:type="spellEnd"/>
      <w:r w:rsidR="00A15685">
        <w:rPr>
          <w:rFonts w:eastAsia="Calibri"/>
          <w:sz w:val="24"/>
          <w:szCs w:val="24"/>
          <w:lang w:val="ro-RO"/>
        </w:rPr>
        <w:t xml:space="preserve"> financiare acoperite de programele: 90 ,,</w:t>
      </w:r>
      <w:r w:rsidR="00A15685" w:rsidRPr="00A15685">
        <w:t xml:space="preserve"> </w:t>
      </w:r>
      <w:proofErr w:type="spellStart"/>
      <w:r w:rsidR="00A15685" w:rsidRPr="00A15685">
        <w:rPr>
          <w:rFonts w:eastAsia="Calibri"/>
          <w:sz w:val="24"/>
          <w:szCs w:val="24"/>
          <w:lang w:val="ro-RO"/>
        </w:rPr>
        <w:t>Protecţia</w:t>
      </w:r>
      <w:proofErr w:type="spellEnd"/>
      <w:r w:rsidR="00A15685" w:rsidRPr="00A15685">
        <w:rPr>
          <w:rFonts w:eastAsia="Calibri"/>
          <w:sz w:val="24"/>
          <w:szCs w:val="24"/>
          <w:lang w:val="ro-RO"/>
        </w:rPr>
        <w:t xml:space="preserve"> socială</w:t>
      </w:r>
      <w:r w:rsidR="00A15685">
        <w:rPr>
          <w:rFonts w:eastAsia="Calibri"/>
          <w:sz w:val="24"/>
          <w:szCs w:val="24"/>
          <w:lang w:val="ro-RO"/>
        </w:rPr>
        <w:t>”, 40 ,,Justiție”, 88 ,,</w:t>
      </w:r>
      <w:r w:rsidR="00A15685" w:rsidRPr="00A15685">
        <w:t xml:space="preserve"> </w:t>
      </w:r>
      <w:proofErr w:type="spellStart"/>
      <w:r w:rsidR="00A15685" w:rsidRPr="00A15685">
        <w:rPr>
          <w:rFonts w:eastAsia="Calibri"/>
          <w:sz w:val="24"/>
          <w:szCs w:val="24"/>
          <w:lang w:val="ro-RO"/>
        </w:rPr>
        <w:t>Învăţămînt</w:t>
      </w:r>
      <w:proofErr w:type="spellEnd"/>
      <w:r w:rsidR="00A15685">
        <w:rPr>
          <w:rFonts w:eastAsia="Calibri"/>
          <w:sz w:val="24"/>
          <w:szCs w:val="24"/>
          <w:lang w:val="ro-RO"/>
        </w:rPr>
        <w:t>”, 80 ,,</w:t>
      </w:r>
      <w:r w:rsidR="00A15685" w:rsidRPr="00A15685">
        <w:t xml:space="preserve"> </w:t>
      </w:r>
      <w:r w:rsidR="00A15685" w:rsidRPr="00A15685">
        <w:rPr>
          <w:rFonts w:eastAsia="Calibri"/>
          <w:sz w:val="24"/>
          <w:szCs w:val="24"/>
          <w:lang w:val="ro-RO"/>
        </w:rPr>
        <w:t xml:space="preserve">Sănătatea publică </w:t>
      </w:r>
      <w:proofErr w:type="spellStart"/>
      <w:r w:rsidR="00A15685" w:rsidRPr="00A15685">
        <w:rPr>
          <w:rFonts w:eastAsia="Calibri"/>
          <w:sz w:val="24"/>
          <w:szCs w:val="24"/>
          <w:lang w:val="ro-RO"/>
        </w:rPr>
        <w:t>şi</w:t>
      </w:r>
      <w:proofErr w:type="spellEnd"/>
      <w:r w:rsidR="00A15685" w:rsidRPr="00A15685">
        <w:rPr>
          <w:rFonts w:eastAsia="Calibri"/>
          <w:sz w:val="24"/>
          <w:szCs w:val="24"/>
          <w:lang w:val="ro-RO"/>
        </w:rPr>
        <w:t xml:space="preserve"> serviciile medicale</w:t>
      </w:r>
      <w:r w:rsidR="00A15685">
        <w:rPr>
          <w:rFonts w:eastAsia="Calibri"/>
          <w:sz w:val="24"/>
          <w:szCs w:val="24"/>
          <w:lang w:val="ro-RO"/>
        </w:rPr>
        <w:t>”, 31 ,,</w:t>
      </w:r>
      <w:r w:rsidR="00A15685" w:rsidRPr="00A15685">
        <w:rPr>
          <w:rFonts w:eastAsia="Calibri"/>
          <w:sz w:val="24"/>
          <w:szCs w:val="24"/>
          <w:lang w:val="ro-RO"/>
        </w:rPr>
        <w:t xml:space="preserve">Apărarea </w:t>
      </w:r>
      <w:proofErr w:type="spellStart"/>
      <w:r w:rsidR="00A15685" w:rsidRPr="00A15685">
        <w:rPr>
          <w:rFonts w:eastAsia="Calibri"/>
          <w:sz w:val="24"/>
          <w:szCs w:val="24"/>
          <w:lang w:val="ro-RO"/>
        </w:rPr>
        <w:t>Naţională</w:t>
      </w:r>
      <w:proofErr w:type="spellEnd"/>
      <w:r w:rsidR="00A15685">
        <w:rPr>
          <w:rFonts w:eastAsia="Calibri"/>
          <w:sz w:val="24"/>
          <w:szCs w:val="24"/>
          <w:lang w:val="ro-RO"/>
        </w:rPr>
        <w:t>”, 70 ,,</w:t>
      </w:r>
      <w:proofErr w:type="spellStart"/>
      <w:r w:rsidR="00A15685" w:rsidRPr="00A15685">
        <w:rPr>
          <w:rFonts w:eastAsia="Calibri"/>
          <w:sz w:val="24"/>
          <w:szCs w:val="24"/>
          <w:lang w:val="ro-RO"/>
        </w:rPr>
        <w:t>Protecţia</w:t>
      </w:r>
      <w:proofErr w:type="spellEnd"/>
      <w:r w:rsidR="00A15685" w:rsidRPr="00A15685">
        <w:rPr>
          <w:rFonts w:eastAsia="Calibri"/>
          <w:sz w:val="24"/>
          <w:szCs w:val="24"/>
          <w:lang w:val="ro-RO"/>
        </w:rPr>
        <w:t xml:space="preserve"> mediului</w:t>
      </w:r>
      <w:r w:rsidR="00A15685">
        <w:rPr>
          <w:rFonts w:eastAsia="Calibri"/>
          <w:sz w:val="24"/>
          <w:szCs w:val="24"/>
          <w:lang w:val="ro-RO"/>
        </w:rPr>
        <w:t>”, 36 ,,</w:t>
      </w:r>
      <w:r w:rsidR="00A15685" w:rsidRPr="00A15685">
        <w:rPr>
          <w:rFonts w:eastAsia="Calibri"/>
          <w:sz w:val="24"/>
          <w:szCs w:val="24"/>
          <w:lang w:val="ro-RO"/>
        </w:rPr>
        <w:t xml:space="preserve">Securitatea </w:t>
      </w:r>
      <w:proofErr w:type="spellStart"/>
      <w:r w:rsidR="00A15685" w:rsidRPr="00A15685">
        <w:rPr>
          <w:rFonts w:eastAsia="Calibri"/>
          <w:sz w:val="24"/>
          <w:szCs w:val="24"/>
          <w:lang w:val="ro-RO"/>
        </w:rPr>
        <w:t>Naţională</w:t>
      </w:r>
      <w:proofErr w:type="spellEnd"/>
      <w:r w:rsidR="00A15685">
        <w:rPr>
          <w:rFonts w:eastAsia="Calibri"/>
          <w:sz w:val="24"/>
          <w:szCs w:val="24"/>
          <w:lang w:val="ro-RO"/>
        </w:rPr>
        <w:t>” și 05 ,,</w:t>
      </w:r>
      <w:r w:rsidR="00A15685" w:rsidRPr="00A15685">
        <w:rPr>
          <w:rFonts w:eastAsia="Calibri"/>
          <w:sz w:val="24"/>
          <w:szCs w:val="24"/>
          <w:lang w:val="ro-RO"/>
        </w:rPr>
        <w:t xml:space="preserve">Managementul </w:t>
      </w:r>
      <w:proofErr w:type="spellStart"/>
      <w:r w:rsidR="00A15685" w:rsidRPr="00A15685">
        <w:rPr>
          <w:rFonts w:eastAsia="Calibri"/>
          <w:sz w:val="24"/>
          <w:szCs w:val="24"/>
          <w:lang w:val="ro-RO"/>
        </w:rPr>
        <w:t>finanţelor</w:t>
      </w:r>
      <w:proofErr w:type="spellEnd"/>
      <w:r w:rsidR="00A15685" w:rsidRPr="00A15685">
        <w:rPr>
          <w:rFonts w:eastAsia="Calibri"/>
          <w:sz w:val="24"/>
          <w:szCs w:val="24"/>
          <w:lang w:val="ro-RO"/>
        </w:rPr>
        <w:t xml:space="preserve"> publice</w:t>
      </w:r>
      <w:r w:rsidR="00A15685">
        <w:rPr>
          <w:rFonts w:eastAsia="Calibri"/>
          <w:sz w:val="24"/>
          <w:szCs w:val="24"/>
          <w:lang w:val="ro-RO"/>
        </w:rPr>
        <w:t>”.</w:t>
      </w:r>
    </w:p>
    <w:p w14:paraId="31F0A54F" w14:textId="5987829B" w:rsidR="00E075B2" w:rsidRDefault="00E075B2" w:rsidP="00707A90">
      <w:pPr>
        <w:tabs>
          <w:tab w:val="left" w:pos="993"/>
        </w:tabs>
        <w:spacing w:after="0"/>
        <w:ind w:firstLine="540"/>
        <w:jc w:val="both"/>
        <w:rPr>
          <w:rFonts w:eastAsia="Calibri"/>
          <w:sz w:val="24"/>
          <w:szCs w:val="24"/>
          <w:lang w:val="ro-RO"/>
        </w:rPr>
      </w:pPr>
      <w:r>
        <w:rPr>
          <w:rFonts w:eastAsia="Calibri"/>
          <w:sz w:val="24"/>
          <w:szCs w:val="24"/>
          <w:lang w:val="ro-RO"/>
        </w:rPr>
        <w:t xml:space="preserve">Totodată, o parte din activitățile în cadrul Programului urmează a fi acoperite din surse financiare de </w:t>
      </w:r>
      <w:proofErr w:type="spellStart"/>
      <w:r>
        <w:rPr>
          <w:rFonts w:eastAsia="Calibri"/>
          <w:sz w:val="24"/>
          <w:szCs w:val="24"/>
          <w:lang w:val="ro-RO"/>
        </w:rPr>
        <w:t>asitența</w:t>
      </w:r>
      <w:proofErr w:type="spellEnd"/>
      <w:r>
        <w:rPr>
          <w:rFonts w:eastAsia="Calibri"/>
          <w:sz w:val="24"/>
          <w:szCs w:val="24"/>
          <w:lang w:val="ro-RO"/>
        </w:rPr>
        <w:t xml:space="preserve"> externă, care constituie </w:t>
      </w:r>
      <w:r w:rsidRPr="00E075B2">
        <w:rPr>
          <w:rFonts w:eastAsia="Calibri"/>
          <w:sz w:val="24"/>
          <w:szCs w:val="24"/>
          <w:lang w:val="ro-RO"/>
        </w:rPr>
        <w:t>97.250,5</w:t>
      </w:r>
      <w:r>
        <w:rPr>
          <w:rFonts w:eastAsia="Calibri"/>
          <w:sz w:val="24"/>
          <w:szCs w:val="24"/>
          <w:lang w:val="ro-RO"/>
        </w:rPr>
        <w:t xml:space="preserve"> mii lei, fiind implementate prin cadrul proiectelor de </w:t>
      </w:r>
      <w:proofErr w:type="spellStart"/>
      <w:r>
        <w:rPr>
          <w:rFonts w:eastAsia="Calibri"/>
          <w:sz w:val="24"/>
          <w:szCs w:val="24"/>
          <w:lang w:val="ro-RO"/>
        </w:rPr>
        <w:t>asitență</w:t>
      </w:r>
      <w:proofErr w:type="spellEnd"/>
      <w:r>
        <w:rPr>
          <w:rFonts w:eastAsia="Calibri"/>
          <w:sz w:val="24"/>
          <w:szCs w:val="24"/>
          <w:lang w:val="ro-RO"/>
        </w:rPr>
        <w:t xml:space="preserve"> externă: </w:t>
      </w:r>
      <w:r w:rsidRPr="00E075B2">
        <w:rPr>
          <w:rFonts w:eastAsia="Calibri"/>
          <w:sz w:val="24"/>
          <w:szCs w:val="24"/>
          <w:lang w:val="ro-RO"/>
        </w:rPr>
        <w:t xml:space="preserve">Democrația </w:t>
      </w:r>
      <w:proofErr w:type="spellStart"/>
      <w:r w:rsidRPr="00E075B2">
        <w:rPr>
          <w:rFonts w:eastAsia="Calibri"/>
          <w:sz w:val="24"/>
          <w:szCs w:val="24"/>
          <w:lang w:val="ro-RO"/>
        </w:rPr>
        <w:t>Rezilientă</w:t>
      </w:r>
      <w:proofErr w:type="spellEnd"/>
      <w:r w:rsidRPr="00E075B2">
        <w:rPr>
          <w:rFonts w:eastAsia="Calibri"/>
          <w:sz w:val="24"/>
          <w:szCs w:val="24"/>
          <w:lang w:val="ro-RO"/>
        </w:rPr>
        <w:t xml:space="preserve"> prin Combaterea Corupției (UNDP)</w:t>
      </w:r>
      <w:r>
        <w:rPr>
          <w:rFonts w:eastAsia="Calibri"/>
          <w:sz w:val="24"/>
          <w:szCs w:val="24"/>
          <w:lang w:val="ro-RO"/>
        </w:rPr>
        <w:t xml:space="preserve">, </w:t>
      </w:r>
      <w:r w:rsidRPr="00E075B2">
        <w:rPr>
          <w:rFonts w:eastAsia="Calibri"/>
          <w:sz w:val="24"/>
          <w:szCs w:val="24"/>
          <w:lang w:val="ro-RO"/>
        </w:rPr>
        <w:t xml:space="preserve">EU4Public </w:t>
      </w:r>
      <w:proofErr w:type="spellStart"/>
      <w:r w:rsidRPr="00E075B2">
        <w:rPr>
          <w:rFonts w:eastAsia="Calibri"/>
          <w:sz w:val="24"/>
          <w:szCs w:val="24"/>
          <w:lang w:val="ro-RO"/>
        </w:rPr>
        <w:t>Order</w:t>
      </w:r>
      <w:proofErr w:type="spellEnd"/>
      <w:r w:rsidRPr="00E075B2">
        <w:rPr>
          <w:rFonts w:eastAsia="Calibri"/>
          <w:sz w:val="24"/>
          <w:szCs w:val="24"/>
          <w:lang w:val="ro-RO"/>
        </w:rPr>
        <w:t xml:space="preserve"> finanțat de Uniunea Europeană</w:t>
      </w:r>
      <w:r>
        <w:rPr>
          <w:rFonts w:eastAsia="Calibri"/>
          <w:sz w:val="24"/>
          <w:szCs w:val="24"/>
          <w:lang w:val="ro-RO"/>
        </w:rPr>
        <w:t xml:space="preserve">, </w:t>
      </w:r>
      <w:r w:rsidR="00707A90" w:rsidRPr="00707A90">
        <w:rPr>
          <w:rFonts w:eastAsia="Calibri"/>
          <w:sz w:val="24"/>
          <w:szCs w:val="24"/>
          <w:lang w:val="ro-RO"/>
        </w:rPr>
        <w:t>OSCE</w:t>
      </w:r>
      <w:r w:rsidR="00707A90">
        <w:rPr>
          <w:rFonts w:eastAsia="Calibri"/>
          <w:sz w:val="24"/>
          <w:szCs w:val="24"/>
          <w:lang w:val="ro-RO"/>
        </w:rPr>
        <w:t>,</w:t>
      </w:r>
      <w:r w:rsidR="00707A90" w:rsidRPr="00707A90">
        <w:rPr>
          <w:rFonts w:eastAsia="Calibri"/>
          <w:sz w:val="24"/>
          <w:szCs w:val="24"/>
          <w:lang w:val="ro-RO"/>
        </w:rPr>
        <w:t xml:space="preserve"> Biroul Federal German, Oficiul Consiliului Europei</w:t>
      </w:r>
      <w:r w:rsidR="00707A90">
        <w:rPr>
          <w:rFonts w:eastAsia="Calibri"/>
          <w:sz w:val="24"/>
          <w:szCs w:val="24"/>
          <w:lang w:val="ro-RO"/>
        </w:rPr>
        <w:t>,</w:t>
      </w:r>
      <w:r w:rsidR="00707A90" w:rsidRPr="00707A90">
        <w:rPr>
          <w:rFonts w:eastAsia="Calibri"/>
          <w:sz w:val="24"/>
          <w:szCs w:val="24"/>
          <w:lang w:val="ro-RO"/>
        </w:rPr>
        <w:t xml:space="preserve"> </w:t>
      </w:r>
      <w:r w:rsidR="00707A90">
        <w:rPr>
          <w:rFonts w:eastAsia="Calibri"/>
          <w:sz w:val="24"/>
          <w:szCs w:val="24"/>
          <w:lang w:val="ro-RO"/>
        </w:rPr>
        <w:t xml:space="preserve">Ambasada </w:t>
      </w:r>
      <w:r w:rsidR="00707A90" w:rsidRPr="00707A90">
        <w:rPr>
          <w:rFonts w:eastAsia="Calibri"/>
          <w:sz w:val="24"/>
          <w:szCs w:val="24"/>
          <w:lang w:val="ro-RO"/>
        </w:rPr>
        <w:t>Regatul</w:t>
      </w:r>
      <w:r w:rsidR="00707A90">
        <w:rPr>
          <w:rFonts w:eastAsia="Calibri"/>
          <w:sz w:val="24"/>
          <w:szCs w:val="24"/>
          <w:lang w:val="ro-RO"/>
        </w:rPr>
        <w:t>ui</w:t>
      </w:r>
      <w:r w:rsidR="00707A90" w:rsidRPr="00707A90">
        <w:rPr>
          <w:rFonts w:eastAsia="Calibri"/>
          <w:sz w:val="24"/>
          <w:szCs w:val="24"/>
          <w:lang w:val="ro-RO"/>
        </w:rPr>
        <w:t xml:space="preserve"> Suediei</w:t>
      </w:r>
      <w:r w:rsidR="00707A90">
        <w:rPr>
          <w:rFonts w:eastAsia="Calibri"/>
          <w:sz w:val="24"/>
          <w:szCs w:val="24"/>
          <w:lang w:val="ro-RO"/>
        </w:rPr>
        <w:t>,</w:t>
      </w:r>
      <w:r w:rsidR="00707A90" w:rsidRPr="00707A90">
        <w:rPr>
          <w:rFonts w:eastAsia="Calibri"/>
          <w:sz w:val="24"/>
          <w:szCs w:val="24"/>
          <w:lang w:val="ro-RO"/>
        </w:rPr>
        <w:t xml:space="preserve"> PNUD</w:t>
      </w:r>
      <w:r w:rsidR="00707A90">
        <w:rPr>
          <w:rFonts w:eastAsia="Calibri"/>
          <w:sz w:val="24"/>
          <w:szCs w:val="24"/>
          <w:lang w:val="ro-RO"/>
        </w:rPr>
        <w:t>,</w:t>
      </w:r>
      <w:r w:rsidR="00707A90" w:rsidRPr="00707A90">
        <w:rPr>
          <w:rFonts w:eastAsia="Calibri"/>
          <w:sz w:val="24"/>
          <w:szCs w:val="24"/>
          <w:lang w:val="ro-RO"/>
        </w:rPr>
        <w:t>GS Foundation</w:t>
      </w:r>
      <w:r w:rsidR="00707A90">
        <w:rPr>
          <w:rFonts w:eastAsia="Calibri"/>
          <w:sz w:val="24"/>
          <w:szCs w:val="24"/>
          <w:lang w:val="ro-RO"/>
        </w:rPr>
        <w:t xml:space="preserve">, </w:t>
      </w:r>
      <w:r w:rsidR="00707A90" w:rsidRPr="00707A90">
        <w:rPr>
          <w:rFonts w:eastAsia="Calibri"/>
          <w:sz w:val="24"/>
          <w:szCs w:val="24"/>
          <w:lang w:val="ro-RO"/>
        </w:rPr>
        <w:t>Ministerul Federal German</w:t>
      </w:r>
      <w:r w:rsidR="00707A90">
        <w:rPr>
          <w:rFonts w:eastAsia="Calibri"/>
          <w:sz w:val="24"/>
          <w:szCs w:val="24"/>
          <w:lang w:val="ro-RO"/>
        </w:rPr>
        <w:t xml:space="preserve">, </w:t>
      </w:r>
      <w:r w:rsidR="00707A90" w:rsidRPr="00707A90">
        <w:rPr>
          <w:rFonts w:eastAsia="Calibri"/>
          <w:sz w:val="24"/>
          <w:szCs w:val="24"/>
          <w:lang w:val="ro-RO"/>
        </w:rPr>
        <w:t>Ambasada SUA</w:t>
      </w:r>
      <w:r w:rsidR="00707A90">
        <w:rPr>
          <w:rFonts w:eastAsia="Calibri"/>
          <w:sz w:val="24"/>
          <w:szCs w:val="24"/>
          <w:lang w:val="ro-RO"/>
        </w:rPr>
        <w:t>,</w:t>
      </w:r>
      <w:r w:rsidR="00707A90" w:rsidRPr="00707A90">
        <w:rPr>
          <w:rFonts w:eastAsia="Calibri"/>
          <w:sz w:val="24"/>
          <w:szCs w:val="24"/>
          <w:lang w:val="ro-RO"/>
        </w:rPr>
        <w:t xml:space="preserve"> Oficiul ONU pentru Drepturile Omului</w:t>
      </w:r>
      <w:r w:rsidR="00707A90">
        <w:rPr>
          <w:rFonts w:eastAsia="Calibri"/>
          <w:sz w:val="24"/>
          <w:szCs w:val="24"/>
          <w:lang w:val="ro-RO"/>
        </w:rPr>
        <w:t>.</w:t>
      </w:r>
    </w:p>
    <w:p w14:paraId="2905DCA3" w14:textId="67203370" w:rsidR="00707A90" w:rsidRPr="008432F1" w:rsidRDefault="00707A90" w:rsidP="00707A90">
      <w:pPr>
        <w:tabs>
          <w:tab w:val="left" w:pos="993"/>
        </w:tabs>
        <w:spacing w:after="0"/>
        <w:ind w:firstLine="540"/>
        <w:jc w:val="both"/>
        <w:rPr>
          <w:rFonts w:eastAsia="Calibri"/>
          <w:sz w:val="24"/>
          <w:szCs w:val="24"/>
          <w:lang w:val="ro-RO"/>
        </w:rPr>
      </w:pPr>
      <w:r>
        <w:rPr>
          <w:rFonts w:eastAsia="Calibri"/>
          <w:sz w:val="24"/>
          <w:szCs w:val="24"/>
          <w:lang w:val="ro-RO"/>
        </w:rPr>
        <w:lastRenderedPageBreak/>
        <w:t xml:space="preserve">Suplimentar, se indică asupra costurilor neacoperite pentru implementarea Programului, ceea ce constituie </w:t>
      </w:r>
      <w:r w:rsidRPr="00707A90">
        <w:rPr>
          <w:rFonts w:eastAsia="Calibri"/>
          <w:sz w:val="24"/>
          <w:szCs w:val="24"/>
          <w:lang w:val="ro-RO"/>
        </w:rPr>
        <w:t>10.880,2</w:t>
      </w:r>
      <w:r>
        <w:rPr>
          <w:rFonts w:eastAsia="Calibri"/>
          <w:sz w:val="24"/>
          <w:szCs w:val="24"/>
          <w:lang w:val="ro-RO"/>
        </w:rPr>
        <w:t xml:space="preserve"> mii lei, care urmează a fi identificați în cadrul parteneriatelor de asistență externă stabilite de către Inspectoratul General al Poliției și Inspectoratul General de Carabinieri.</w:t>
      </w:r>
    </w:p>
    <w:p w14:paraId="646E2970" w14:textId="538756AC" w:rsidR="006A2852" w:rsidRDefault="006A2852" w:rsidP="00F87F75">
      <w:pPr>
        <w:tabs>
          <w:tab w:val="left" w:pos="993"/>
        </w:tabs>
        <w:spacing w:after="0"/>
        <w:jc w:val="both"/>
        <w:rPr>
          <w:rFonts w:eastAsia="Calibri"/>
          <w:sz w:val="24"/>
          <w:szCs w:val="24"/>
          <w:lang w:val="ro-RO"/>
        </w:rPr>
      </w:pPr>
    </w:p>
    <w:p w14:paraId="51950580" w14:textId="0EBC6DF8" w:rsidR="00E62A7F" w:rsidRPr="00E62A7F" w:rsidRDefault="00E62A7F" w:rsidP="00E62A7F">
      <w:pPr>
        <w:pStyle w:val="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Capitolul VII</w:t>
      </w:r>
    </w:p>
    <w:p w14:paraId="5B503D0D" w14:textId="30430094" w:rsidR="001B5C58" w:rsidRPr="001B5C58" w:rsidRDefault="00E62A7F" w:rsidP="001B5C58">
      <w:pPr>
        <w:pStyle w:val="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RISCURI DE IMPLEMENTARE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1083"/>
        <w:gridCol w:w="4632"/>
      </w:tblGrid>
      <w:tr w:rsidR="00E62A7F" w:rsidRPr="008F331C" w14:paraId="03512F32" w14:textId="77777777" w:rsidTr="007D22B1">
        <w:tc>
          <w:tcPr>
            <w:tcW w:w="2197" w:type="pct"/>
            <w:vAlign w:val="center"/>
          </w:tcPr>
          <w:p w14:paraId="4FA11EDA" w14:textId="50A9B28F" w:rsidR="00E62A7F" w:rsidRPr="005B7C9A" w:rsidRDefault="00DF0E71" w:rsidP="007D22B1">
            <w:pPr>
              <w:spacing w:after="0"/>
              <w:jc w:val="center"/>
              <w:rPr>
                <w:b/>
                <w:sz w:val="20"/>
                <w:szCs w:val="20"/>
                <w:lang w:val="ro-RO" w:eastAsia="ru-RU"/>
              </w:rPr>
            </w:pPr>
            <w:r w:rsidRPr="00F87F75">
              <w:rPr>
                <w:b/>
                <w:sz w:val="20"/>
                <w:szCs w:val="20"/>
                <w:lang w:val="ro-RO" w:eastAsia="ru-RU"/>
              </w:rPr>
              <w:t>Riscuri anticipate</w:t>
            </w:r>
          </w:p>
        </w:tc>
        <w:tc>
          <w:tcPr>
            <w:tcW w:w="531" w:type="pct"/>
            <w:vAlign w:val="center"/>
          </w:tcPr>
          <w:p w14:paraId="73297273" w14:textId="77777777" w:rsidR="00E62A7F" w:rsidRPr="005B7C9A" w:rsidRDefault="00E62A7F" w:rsidP="007D22B1">
            <w:pPr>
              <w:spacing w:after="0"/>
              <w:jc w:val="center"/>
              <w:rPr>
                <w:b/>
                <w:sz w:val="20"/>
                <w:szCs w:val="20"/>
                <w:lang w:val="ro-RO" w:eastAsia="ru-RU"/>
              </w:rPr>
            </w:pPr>
            <w:r w:rsidRPr="005B7C9A">
              <w:rPr>
                <w:b/>
                <w:sz w:val="20"/>
                <w:szCs w:val="20"/>
                <w:lang w:val="ro-RO" w:eastAsia="ru-RU"/>
              </w:rPr>
              <w:t>Nivelul riscului</w:t>
            </w:r>
          </w:p>
        </w:tc>
        <w:tc>
          <w:tcPr>
            <w:tcW w:w="2272" w:type="pct"/>
            <w:vAlign w:val="center"/>
          </w:tcPr>
          <w:p w14:paraId="18189D24" w14:textId="100B9536" w:rsidR="00E62A7F" w:rsidRPr="005B7C9A" w:rsidRDefault="00DF0E71" w:rsidP="007D22B1">
            <w:pPr>
              <w:spacing w:after="0"/>
              <w:jc w:val="center"/>
              <w:rPr>
                <w:b/>
                <w:sz w:val="20"/>
                <w:szCs w:val="20"/>
                <w:lang w:val="ro-RO" w:eastAsia="ru-RU"/>
              </w:rPr>
            </w:pPr>
            <w:r w:rsidRPr="00F87F75">
              <w:rPr>
                <w:b/>
                <w:sz w:val="20"/>
                <w:szCs w:val="20"/>
                <w:lang w:val="ro-RO" w:eastAsia="ru-RU"/>
              </w:rPr>
              <w:t>Măsuri de atenuare și monitorizare a riscurilor</w:t>
            </w:r>
          </w:p>
        </w:tc>
      </w:tr>
      <w:tr w:rsidR="00E62A7F" w:rsidRPr="005B7C9A" w14:paraId="7C9C6B14" w14:textId="77777777" w:rsidTr="007D22B1">
        <w:trPr>
          <w:trHeight w:val="1467"/>
        </w:trPr>
        <w:tc>
          <w:tcPr>
            <w:tcW w:w="2197" w:type="pct"/>
            <w:vAlign w:val="center"/>
          </w:tcPr>
          <w:p w14:paraId="5C8C3EB8" w14:textId="77777777" w:rsidR="00E62A7F" w:rsidRPr="006A6D26" w:rsidRDefault="00E62A7F" w:rsidP="007D22B1">
            <w:pPr>
              <w:spacing w:after="0"/>
              <w:contextualSpacing/>
              <w:jc w:val="both"/>
              <w:rPr>
                <w:b/>
                <w:sz w:val="20"/>
                <w:szCs w:val="20"/>
                <w:lang w:val="ro-RO" w:eastAsia="ru-RU"/>
              </w:rPr>
            </w:pPr>
            <w:r w:rsidRPr="006A6D26">
              <w:rPr>
                <w:sz w:val="20"/>
                <w:szCs w:val="20"/>
                <w:lang w:val="ro-RO" w:eastAsia="ru-RU"/>
              </w:rPr>
              <w:t>Alte autorități nu vor manifesta deschidere pentru implementarea acțiunilor/intervențiilor comune. Implicarea „formală” în realizarea obiectivelor propuse ale altor entități cu competențe în domeniu</w:t>
            </w:r>
          </w:p>
        </w:tc>
        <w:tc>
          <w:tcPr>
            <w:tcW w:w="531" w:type="pct"/>
            <w:vAlign w:val="center"/>
          </w:tcPr>
          <w:p w14:paraId="0B4F0379"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7144EF47" w14:textId="77777777" w:rsidR="00E62A7F" w:rsidRPr="006A6D26" w:rsidRDefault="00E62A7F" w:rsidP="007D22B1">
            <w:pPr>
              <w:tabs>
                <w:tab w:val="left" w:pos="651"/>
              </w:tabs>
              <w:spacing w:after="0"/>
              <w:contextualSpacing/>
              <w:jc w:val="both"/>
              <w:rPr>
                <w:bCs/>
                <w:sz w:val="20"/>
                <w:szCs w:val="20"/>
                <w:lang w:val="ro-RO" w:eastAsia="ru-RU"/>
              </w:rPr>
            </w:pPr>
            <w:r w:rsidRPr="006A6D26">
              <w:rPr>
                <w:bCs/>
                <w:sz w:val="20"/>
                <w:szCs w:val="20"/>
                <w:lang w:val="ro-RO" w:eastAsia="ru-RU"/>
              </w:rPr>
              <w:t>Monitorizarea și raportarea periodică a nivelului de implementare a Programului către Cancelaria de Stat</w:t>
            </w:r>
          </w:p>
        </w:tc>
      </w:tr>
      <w:tr w:rsidR="00E62A7F" w:rsidRPr="005B7C9A" w14:paraId="6F92099C" w14:textId="77777777" w:rsidTr="007D22B1">
        <w:trPr>
          <w:trHeight w:val="498"/>
        </w:trPr>
        <w:tc>
          <w:tcPr>
            <w:tcW w:w="2197" w:type="pct"/>
            <w:vAlign w:val="center"/>
          </w:tcPr>
          <w:p w14:paraId="17C4DAE0" w14:textId="77777777" w:rsidR="00E62A7F" w:rsidRPr="006A6D26" w:rsidRDefault="00E62A7F" w:rsidP="007D22B1">
            <w:pPr>
              <w:spacing w:after="0"/>
              <w:contextualSpacing/>
              <w:jc w:val="both"/>
              <w:rPr>
                <w:sz w:val="20"/>
                <w:szCs w:val="20"/>
                <w:lang w:val="ro-RO" w:eastAsia="ru-RU"/>
              </w:rPr>
            </w:pPr>
            <w:r w:rsidRPr="006A6D26">
              <w:rPr>
                <w:sz w:val="20"/>
                <w:szCs w:val="20"/>
                <w:lang w:val="ro-RO" w:eastAsia="ru-RU"/>
              </w:rPr>
              <w:t>Alocarea întârziată a resurselor financiare din bugetul de stat</w:t>
            </w:r>
          </w:p>
        </w:tc>
        <w:tc>
          <w:tcPr>
            <w:tcW w:w="531" w:type="pct"/>
            <w:vAlign w:val="center"/>
          </w:tcPr>
          <w:p w14:paraId="760D798C"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7DFCD635" w14:textId="77777777" w:rsidR="00E62A7F" w:rsidRPr="006A6D26" w:rsidRDefault="00E62A7F" w:rsidP="007D22B1">
            <w:pPr>
              <w:tabs>
                <w:tab w:val="left" w:pos="651"/>
              </w:tabs>
              <w:spacing w:after="0"/>
              <w:contextualSpacing/>
              <w:jc w:val="both"/>
              <w:rPr>
                <w:sz w:val="20"/>
                <w:szCs w:val="20"/>
                <w:lang w:val="ro-RO" w:eastAsia="ru-RU"/>
              </w:rPr>
            </w:pPr>
            <w:r w:rsidRPr="006A6D26">
              <w:rPr>
                <w:sz w:val="20"/>
                <w:szCs w:val="20"/>
                <w:lang w:val="ro-RO" w:eastAsia="ru-RU"/>
              </w:rPr>
              <w:t>- Identificarea oportunităților de asistență externă;</w:t>
            </w:r>
          </w:p>
          <w:p w14:paraId="4DB9E4F9" w14:textId="77777777" w:rsidR="00E62A7F" w:rsidRPr="006A6D26" w:rsidRDefault="00E62A7F" w:rsidP="007D22B1">
            <w:pPr>
              <w:tabs>
                <w:tab w:val="left" w:pos="651"/>
              </w:tabs>
              <w:spacing w:after="0"/>
              <w:contextualSpacing/>
              <w:jc w:val="both"/>
              <w:rPr>
                <w:b/>
                <w:sz w:val="20"/>
                <w:szCs w:val="20"/>
                <w:lang w:val="ro-RO" w:eastAsia="ru-RU"/>
              </w:rPr>
            </w:pPr>
            <w:r w:rsidRPr="006A6D26">
              <w:rPr>
                <w:sz w:val="20"/>
                <w:szCs w:val="20"/>
                <w:lang w:val="ro-RO" w:eastAsia="ru-RU"/>
              </w:rPr>
              <w:t>- revizuirea și actualizarea periodică a planului de acțiuni</w:t>
            </w:r>
          </w:p>
        </w:tc>
      </w:tr>
      <w:tr w:rsidR="00E62A7F" w:rsidRPr="008F331C" w14:paraId="54E410A9" w14:textId="77777777" w:rsidTr="007D22B1">
        <w:trPr>
          <w:trHeight w:val="64"/>
        </w:trPr>
        <w:tc>
          <w:tcPr>
            <w:tcW w:w="2197" w:type="pct"/>
            <w:vAlign w:val="center"/>
          </w:tcPr>
          <w:p w14:paraId="3B3EBE8C" w14:textId="10ABF5B0" w:rsidR="00E62A7F" w:rsidRPr="006A6D26" w:rsidRDefault="00E62A7F" w:rsidP="006A6D26">
            <w:pPr>
              <w:spacing w:after="0"/>
              <w:contextualSpacing/>
              <w:jc w:val="both"/>
              <w:rPr>
                <w:sz w:val="20"/>
                <w:szCs w:val="20"/>
                <w:lang w:val="ro-RO" w:eastAsia="ru-RU"/>
              </w:rPr>
            </w:pPr>
            <w:r w:rsidRPr="006A6D26">
              <w:rPr>
                <w:sz w:val="20"/>
                <w:szCs w:val="20"/>
                <w:lang w:val="ro-RO" w:eastAsia="ru-RU"/>
              </w:rPr>
              <w:t>Instabilitate decizională. Schimbarea viziunii</w:t>
            </w:r>
          </w:p>
        </w:tc>
        <w:tc>
          <w:tcPr>
            <w:tcW w:w="531" w:type="pct"/>
            <w:vAlign w:val="center"/>
          </w:tcPr>
          <w:p w14:paraId="7120E21D"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158F69E6" w14:textId="77777777" w:rsidR="00E62A7F" w:rsidRPr="006A6D26" w:rsidRDefault="00E62A7F" w:rsidP="00E62A7F">
            <w:pPr>
              <w:pStyle w:val="13"/>
              <w:numPr>
                <w:ilvl w:val="0"/>
                <w:numId w:val="21"/>
              </w:numPr>
              <w:tabs>
                <w:tab w:val="left" w:pos="0"/>
                <w:tab w:val="left" w:pos="220"/>
              </w:tabs>
              <w:spacing w:after="0" w:line="240" w:lineRule="auto"/>
              <w:ind w:left="0" w:firstLine="0"/>
              <w:jc w:val="both"/>
              <w:rPr>
                <w:rFonts w:ascii="Times New Roman" w:hAnsi="Times New Roman"/>
                <w:sz w:val="20"/>
                <w:szCs w:val="20"/>
                <w:lang w:val="ro-RO" w:eastAsia="ru-RU"/>
              </w:rPr>
            </w:pPr>
            <w:r w:rsidRPr="006A6D26">
              <w:rPr>
                <w:rFonts w:ascii="Times New Roman" w:hAnsi="Times New Roman"/>
                <w:sz w:val="20"/>
                <w:szCs w:val="20"/>
                <w:lang w:val="ro-RO" w:eastAsia="ru-RU"/>
              </w:rPr>
              <w:t>Stabilirea măsurilor pentru responsabilizarea autorităților în păstrarea cursului de dezvoltare promovat de către Program;</w:t>
            </w:r>
          </w:p>
          <w:p w14:paraId="39DE5DAB" w14:textId="77777777" w:rsidR="00E62A7F" w:rsidRPr="006A6D26" w:rsidRDefault="00E62A7F" w:rsidP="00E62A7F">
            <w:pPr>
              <w:pStyle w:val="13"/>
              <w:numPr>
                <w:ilvl w:val="0"/>
                <w:numId w:val="21"/>
              </w:numPr>
              <w:tabs>
                <w:tab w:val="left" w:pos="0"/>
                <w:tab w:val="left" w:pos="220"/>
              </w:tabs>
              <w:spacing w:after="0" w:line="240" w:lineRule="auto"/>
              <w:ind w:left="0" w:firstLine="0"/>
              <w:jc w:val="both"/>
              <w:rPr>
                <w:rFonts w:ascii="Times New Roman" w:hAnsi="Times New Roman"/>
                <w:sz w:val="20"/>
                <w:szCs w:val="20"/>
                <w:lang w:val="ro-RO" w:eastAsia="ru-RU"/>
              </w:rPr>
            </w:pPr>
            <w:r w:rsidRPr="006A6D26">
              <w:rPr>
                <w:rFonts w:ascii="Times New Roman" w:hAnsi="Times New Roman"/>
                <w:sz w:val="20"/>
                <w:szCs w:val="20"/>
                <w:lang w:val="ro-RO" w:eastAsia="ru-RU"/>
              </w:rPr>
              <w:t>informarea conducerii autorităților implementatoare despre efectul realizării neconforme a intervențiilor propuse;</w:t>
            </w:r>
          </w:p>
          <w:p w14:paraId="22BC3D0B" w14:textId="77777777" w:rsidR="00E62A7F" w:rsidRPr="006A6D26" w:rsidRDefault="00E62A7F" w:rsidP="00E62A7F">
            <w:pPr>
              <w:pStyle w:val="13"/>
              <w:numPr>
                <w:ilvl w:val="0"/>
                <w:numId w:val="21"/>
              </w:numPr>
              <w:tabs>
                <w:tab w:val="left" w:pos="0"/>
                <w:tab w:val="left" w:pos="220"/>
              </w:tabs>
              <w:spacing w:after="0" w:line="240" w:lineRule="auto"/>
              <w:ind w:left="0" w:firstLine="0"/>
              <w:jc w:val="both"/>
              <w:rPr>
                <w:rFonts w:ascii="Times New Roman" w:hAnsi="Times New Roman"/>
                <w:sz w:val="20"/>
                <w:szCs w:val="20"/>
                <w:lang w:val="ro-RO" w:eastAsia="ru-RU"/>
              </w:rPr>
            </w:pPr>
            <w:r w:rsidRPr="006A6D26">
              <w:rPr>
                <w:rFonts w:ascii="Times New Roman" w:hAnsi="Times New Roman"/>
                <w:sz w:val="20"/>
                <w:szCs w:val="20"/>
                <w:lang w:val="ro-RO" w:eastAsia="ru-RU"/>
              </w:rPr>
              <w:t>optarea pentru monitorizarea civică a procesului de implementare a Programului;</w:t>
            </w:r>
          </w:p>
          <w:p w14:paraId="2A7E9342" w14:textId="77777777" w:rsidR="00E62A7F" w:rsidRPr="00906F73" w:rsidRDefault="00E62A7F" w:rsidP="00E62A7F">
            <w:pPr>
              <w:pStyle w:val="13"/>
              <w:numPr>
                <w:ilvl w:val="0"/>
                <w:numId w:val="21"/>
              </w:numPr>
              <w:tabs>
                <w:tab w:val="left" w:pos="0"/>
                <w:tab w:val="left" w:pos="220"/>
              </w:tabs>
              <w:spacing w:after="0" w:line="240" w:lineRule="auto"/>
              <w:ind w:left="0" w:firstLine="0"/>
              <w:jc w:val="both"/>
              <w:rPr>
                <w:rFonts w:ascii="Times New Roman" w:hAnsi="Times New Roman"/>
                <w:color w:val="0070C0"/>
                <w:sz w:val="20"/>
                <w:szCs w:val="20"/>
                <w:lang w:val="ro-RO" w:eastAsia="ru-RU"/>
              </w:rPr>
            </w:pPr>
            <w:r w:rsidRPr="006A6D26">
              <w:rPr>
                <w:rFonts w:ascii="Times New Roman" w:hAnsi="Times New Roman"/>
                <w:sz w:val="20"/>
                <w:szCs w:val="20"/>
                <w:lang w:val="ro-RO" w:eastAsia="ru-RU"/>
              </w:rPr>
              <w:t>evaluarea nivelului de implementare a Programului preponderent prin prisma indicatorilor de rezultat și impact, cu înaintarea propunerilor de modificare a planului de acțiuni aferent acestuia</w:t>
            </w:r>
          </w:p>
        </w:tc>
      </w:tr>
      <w:tr w:rsidR="00E62A7F" w:rsidRPr="005B7C9A" w14:paraId="033538AA" w14:textId="77777777" w:rsidTr="007D22B1">
        <w:trPr>
          <w:trHeight w:val="1225"/>
        </w:trPr>
        <w:tc>
          <w:tcPr>
            <w:tcW w:w="2197" w:type="pct"/>
            <w:vAlign w:val="center"/>
          </w:tcPr>
          <w:p w14:paraId="4C5FFA63" w14:textId="77777777" w:rsidR="00E62A7F" w:rsidRPr="006A6D26" w:rsidRDefault="00E62A7F" w:rsidP="007D22B1">
            <w:pPr>
              <w:spacing w:after="0"/>
              <w:contextualSpacing/>
              <w:jc w:val="both"/>
              <w:rPr>
                <w:bCs/>
                <w:sz w:val="20"/>
                <w:szCs w:val="20"/>
                <w:lang w:val="ro-RO" w:eastAsia="ru-RU"/>
              </w:rPr>
            </w:pPr>
            <w:r w:rsidRPr="006A6D26">
              <w:rPr>
                <w:bCs/>
                <w:sz w:val="20"/>
                <w:szCs w:val="20"/>
                <w:lang w:val="ro-RO" w:eastAsia="ru-RU"/>
              </w:rPr>
              <w:t>Diminuarea memoriei instituționale din cauza fluxului de personal</w:t>
            </w:r>
          </w:p>
        </w:tc>
        <w:tc>
          <w:tcPr>
            <w:tcW w:w="531" w:type="pct"/>
            <w:vAlign w:val="center"/>
          </w:tcPr>
          <w:p w14:paraId="19157D63"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6877F523" w14:textId="77777777" w:rsidR="00E62A7F" w:rsidRPr="006A6D26" w:rsidRDefault="00E62A7F" w:rsidP="00E62A7F">
            <w:pPr>
              <w:pStyle w:val="13"/>
              <w:numPr>
                <w:ilvl w:val="0"/>
                <w:numId w:val="21"/>
              </w:numPr>
              <w:tabs>
                <w:tab w:val="left" w:pos="220"/>
              </w:tabs>
              <w:spacing w:after="0" w:line="240" w:lineRule="auto"/>
              <w:ind w:left="0" w:firstLine="0"/>
              <w:jc w:val="both"/>
              <w:rPr>
                <w:rFonts w:ascii="Times New Roman" w:hAnsi="Times New Roman"/>
                <w:sz w:val="20"/>
                <w:szCs w:val="20"/>
                <w:lang w:val="ro-RO" w:eastAsia="ru-RU"/>
              </w:rPr>
            </w:pPr>
            <w:r w:rsidRPr="006A6D26">
              <w:rPr>
                <w:rFonts w:ascii="Times New Roman" w:hAnsi="Times New Roman"/>
                <w:sz w:val="20"/>
                <w:szCs w:val="20"/>
                <w:lang w:val="ro-RO" w:eastAsia="ru-RU"/>
              </w:rPr>
              <w:t>Crearea grupurilor de lucru pentru implementare, coordonate la nivel central de responsabilii din partea Inspectoratului General al Poliției, Inspectoratului General de Carabinieri/Ministerului Afacerilor Interne;</w:t>
            </w:r>
          </w:p>
          <w:p w14:paraId="5D042611" w14:textId="77777777" w:rsidR="00E62A7F" w:rsidRPr="006A6D26" w:rsidRDefault="00E62A7F" w:rsidP="007D22B1">
            <w:pPr>
              <w:tabs>
                <w:tab w:val="left" w:pos="220"/>
              </w:tabs>
              <w:spacing w:after="0"/>
              <w:contextualSpacing/>
              <w:jc w:val="both"/>
              <w:rPr>
                <w:b/>
                <w:sz w:val="20"/>
                <w:szCs w:val="20"/>
                <w:lang w:val="ro-RO" w:eastAsia="ru-RU"/>
              </w:rPr>
            </w:pPr>
            <w:r w:rsidRPr="006A6D26">
              <w:rPr>
                <w:sz w:val="20"/>
                <w:szCs w:val="20"/>
                <w:lang w:val="ro-RO" w:eastAsia="ru-RU"/>
              </w:rPr>
              <w:t>- elaborarea politicilor de retenție a angajaților profesioniști</w:t>
            </w:r>
          </w:p>
        </w:tc>
      </w:tr>
      <w:tr w:rsidR="00E62A7F" w:rsidRPr="005B7C9A" w14:paraId="27980324" w14:textId="77777777" w:rsidTr="007D22B1">
        <w:tc>
          <w:tcPr>
            <w:tcW w:w="2197" w:type="pct"/>
            <w:vAlign w:val="center"/>
          </w:tcPr>
          <w:p w14:paraId="2BCB871C" w14:textId="77777777" w:rsidR="00E62A7F" w:rsidRPr="006A6D26" w:rsidRDefault="00E62A7F" w:rsidP="007D22B1">
            <w:pPr>
              <w:spacing w:after="0"/>
              <w:contextualSpacing/>
              <w:jc w:val="both"/>
              <w:rPr>
                <w:bCs/>
                <w:sz w:val="20"/>
                <w:szCs w:val="20"/>
                <w:lang w:val="ro-RO" w:eastAsia="ru-RU"/>
              </w:rPr>
            </w:pPr>
            <w:r w:rsidRPr="006A6D26">
              <w:rPr>
                <w:bCs/>
                <w:sz w:val="20"/>
                <w:szCs w:val="20"/>
                <w:lang w:val="ro-RO" w:eastAsia="ru-RU"/>
              </w:rPr>
              <w:t>Tergiversarea procesului de modificare a cadrului legal și, ca rezultat, afectarea altor procese de implementare ulterioare</w:t>
            </w:r>
          </w:p>
        </w:tc>
        <w:tc>
          <w:tcPr>
            <w:tcW w:w="531" w:type="pct"/>
            <w:vAlign w:val="center"/>
          </w:tcPr>
          <w:p w14:paraId="3A0AFD3D"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52A1E340" w14:textId="77777777" w:rsidR="00E62A7F" w:rsidRPr="006A6D26" w:rsidRDefault="00E62A7F" w:rsidP="007D22B1">
            <w:pPr>
              <w:tabs>
                <w:tab w:val="left" w:pos="651"/>
              </w:tabs>
              <w:spacing w:after="0"/>
              <w:contextualSpacing/>
              <w:jc w:val="both"/>
              <w:rPr>
                <w:sz w:val="20"/>
                <w:szCs w:val="20"/>
                <w:lang w:val="ro-RO" w:eastAsia="ru-RU"/>
              </w:rPr>
            </w:pPr>
            <w:r w:rsidRPr="006A6D26">
              <w:rPr>
                <w:sz w:val="20"/>
                <w:szCs w:val="20"/>
                <w:lang w:val="ro-RO" w:eastAsia="ru-RU"/>
              </w:rPr>
              <w:t>Demararea anticipată a proceselor preparatorii de modificare prin includerea acestora în planurile de activitate instituționale</w:t>
            </w:r>
          </w:p>
        </w:tc>
      </w:tr>
      <w:tr w:rsidR="00E62A7F" w:rsidRPr="008F331C" w14:paraId="42450F86" w14:textId="77777777" w:rsidTr="007D22B1">
        <w:tc>
          <w:tcPr>
            <w:tcW w:w="2197" w:type="pct"/>
            <w:vAlign w:val="center"/>
          </w:tcPr>
          <w:p w14:paraId="0DBD3D58" w14:textId="77777777" w:rsidR="00E62A7F" w:rsidRPr="006A6D26" w:rsidRDefault="00E62A7F" w:rsidP="007D22B1">
            <w:pPr>
              <w:spacing w:after="0"/>
              <w:contextualSpacing/>
              <w:jc w:val="both"/>
              <w:rPr>
                <w:bCs/>
                <w:sz w:val="20"/>
                <w:szCs w:val="20"/>
                <w:lang w:val="ro-RO" w:eastAsia="ru-RU"/>
              </w:rPr>
            </w:pPr>
            <w:r w:rsidRPr="006A6D26">
              <w:rPr>
                <w:bCs/>
                <w:sz w:val="20"/>
                <w:szCs w:val="20"/>
                <w:lang w:val="ro-RO" w:eastAsia="ru-RU"/>
              </w:rPr>
              <w:t>Amenințări regionale/de altă natură care solicită în măsură foarte mare implicarea resurselor instituției</w:t>
            </w:r>
          </w:p>
          <w:p w14:paraId="2FE71477" w14:textId="77777777" w:rsidR="00E62A7F" w:rsidRPr="006A6D26" w:rsidRDefault="00E62A7F" w:rsidP="007D22B1">
            <w:pPr>
              <w:spacing w:after="0"/>
              <w:contextualSpacing/>
              <w:jc w:val="both"/>
              <w:rPr>
                <w:bCs/>
                <w:sz w:val="20"/>
                <w:szCs w:val="20"/>
                <w:lang w:val="ro-RO" w:eastAsia="ru-RU"/>
              </w:rPr>
            </w:pPr>
          </w:p>
        </w:tc>
        <w:tc>
          <w:tcPr>
            <w:tcW w:w="531" w:type="pct"/>
            <w:vAlign w:val="center"/>
          </w:tcPr>
          <w:p w14:paraId="4F08D53F"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Înalt</w:t>
            </w:r>
          </w:p>
        </w:tc>
        <w:tc>
          <w:tcPr>
            <w:tcW w:w="2272" w:type="pct"/>
            <w:vAlign w:val="center"/>
          </w:tcPr>
          <w:p w14:paraId="20E9BEAF" w14:textId="77777777" w:rsidR="00E62A7F" w:rsidRPr="006A6D26" w:rsidRDefault="00E62A7F" w:rsidP="007D22B1">
            <w:pPr>
              <w:tabs>
                <w:tab w:val="left" w:pos="651"/>
              </w:tabs>
              <w:spacing w:after="0"/>
              <w:contextualSpacing/>
              <w:jc w:val="both"/>
              <w:rPr>
                <w:b/>
                <w:sz w:val="20"/>
                <w:szCs w:val="20"/>
                <w:lang w:val="ro-RO" w:eastAsia="ru-RU"/>
              </w:rPr>
            </w:pPr>
            <w:r w:rsidRPr="006A6D26">
              <w:rPr>
                <w:sz w:val="20"/>
                <w:szCs w:val="20"/>
                <w:lang w:val="ro-RO" w:eastAsia="ru-RU"/>
              </w:rPr>
              <w:t>Informarea Guvernului cu privire la riscul neexecutării și necesității luării unei decizii privind extinderea termenului de implementare sau modificarea indicatorilor de performanță</w:t>
            </w:r>
          </w:p>
        </w:tc>
      </w:tr>
      <w:tr w:rsidR="00E62A7F" w:rsidRPr="008F331C" w14:paraId="6F4B8766" w14:textId="77777777" w:rsidTr="007D22B1">
        <w:trPr>
          <w:trHeight w:val="795"/>
        </w:trPr>
        <w:tc>
          <w:tcPr>
            <w:tcW w:w="2197" w:type="pct"/>
            <w:vAlign w:val="center"/>
          </w:tcPr>
          <w:p w14:paraId="6E715A40" w14:textId="77777777" w:rsidR="00E62A7F" w:rsidRPr="006A6D26" w:rsidRDefault="00E62A7F" w:rsidP="007D22B1">
            <w:pPr>
              <w:spacing w:after="0"/>
              <w:contextualSpacing/>
              <w:jc w:val="both"/>
              <w:rPr>
                <w:bCs/>
                <w:sz w:val="20"/>
                <w:szCs w:val="20"/>
                <w:lang w:val="ro-RO" w:eastAsia="ru-RU"/>
              </w:rPr>
            </w:pPr>
            <w:r w:rsidRPr="006A6D26">
              <w:rPr>
                <w:bCs/>
                <w:sz w:val="20"/>
                <w:szCs w:val="20"/>
                <w:lang w:val="ro-RO" w:eastAsia="ru-RU"/>
              </w:rPr>
              <w:t>Nivelul scăzut de implementare a programelor și proceselor conexe  domeniilor aferente ordinii și securității publice</w:t>
            </w:r>
          </w:p>
        </w:tc>
        <w:tc>
          <w:tcPr>
            <w:tcW w:w="531" w:type="pct"/>
            <w:vAlign w:val="center"/>
          </w:tcPr>
          <w:p w14:paraId="0DA02989"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54662FFB" w14:textId="6F9DD48D" w:rsidR="00E62A7F" w:rsidRPr="006A6D26" w:rsidRDefault="00E62A7F" w:rsidP="006A6D26">
            <w:pPr>
              <w:tabs>
                <w:tab w:val="left" w:pos="651"/>
              </w:tabs>
              <w:spacing w:after="0"/>
              <w:contextualSpacing/>
              <w:jc w:val="both"/>
              <w:rPr>
                <w:bCs/>
                <w:sz w:val="20"/>
                <w:szCs w:val="20"/>
                <w:lang w:val="ro-RO" w:eastAsia="ru-RU"/>
              </w:rPr>
            </w:pPr>
            <w:proofErr w:type="spellStart"/>
            <w:r w:rsidRPr="006A6D26">
              <w:rPr>
                <w:bCs/>
                <w:sz w:val="20"/>
                <w:szCs w:val="20"/>
                <w:lang w:val="ro-RO" w:eastAsia="ru-RU"/>
              </w:rPr>
              <w:t>Prioritizarea</w:t>
            </w:r>
            <w:proofErr w:type="spellEnd"/>
            <w:r w:rsidRPr="006A6D26">
              <w:rPr>
                <w:bCs/>
                <w:sz w:val="20"/>
                <w:szCs w:val="20"/>
                <w:lang w:val="ro-RO" w:eastAsia="ru-RU"/>
              </w:rPr>
              <w:t xml:space="preserve"> obiectivelor și a produselor acestora care afectează calitatea rezultatelor Programului </w:t>
            </w:r>
            <w:r w:rsidR="006A6D26">
              <w:rPr>
                <w:bCs/>
                <w:sz w:val="20"/>
                <w:szCs w:val="20"/>
                <w:lang w:val="ro-RO" w:eastAsia="ru-RU"/>
              </w:rPr>
              <w:t xml:space="preserve">național </w:t>
            </w:r>
            <w:r w:rsidRPr="006A6D26">
              <w:rPr>
                <w:bCs/>
                <w:sz w:val="20"/>
                <w:szCs w:val="20"/>
                <w:lang w:val="ro-RO" w:eastAsia="ru-RU"/>
              </w:rPr>
              <w:t>de ordine și securitate publică pentru anii 202</w:t>
            </w:r>
            <w:r w:rsidR="006A6D26">
              <w:rPr>
                <w:bCs/>
                <w:sz w:val="20"/>
                <w:szCs w:val="20"/>
                <w:lang w:val="ro-RO" w:eastAsia="ru-RU"/>
              </w:rPr>
              <w:t>6</w:t>
            </w:r>
            <w:r w:rsidRPr="006A6D26">
              <w:rPr>
                <w:bCs/>
                <w:sz w:val="20"/>
                <w:szCs w:val="20"/>
                <w:lang w:val="ro-RO" w:eastAsia="ru-RU"/>
              </w:rPr>
              <w:t xml:space="preserve"> - 20</w:t>
            </w:r>
            <w:r w:rsidR="006A6D26">
              <w:rPr>
                <w:bCs/>
                <w:sz w:val="20"/>
                <w:szCs w:val="20"/>
                <w:lang w:val="ro-RO" w:eastAsia="ru-RU"/>
              </w:rPr>
              <w:t>30</w:t>
            </w:r>
            <w:r w:rsidRPr="006A6D26">
              <w:rPr>
                <w:bCs/>
                <w:sz w:val="20"/>
                <w:szCs w:val="20"/>
                <w:lang w:val="ro-RO" w:eastAsia="ru-RU"/>
              </w:rPr>
              <w:t xml:space="preserve"> eșalonate în timp</w:t>
            </w:r>
          </w:p>
        </w:tc>
      </w:tr>
      <w:tr w:rsidR="00E62A7F" w:rsidRPr="005B7C9A" w14:paraId="3B915F93" w14:textId="77777777" w:rsidTr="007D22B1">
        <w:tc>
          <w:tcPr>
            <w:tcW w:w="2197" w:type="pct"/>
            <w:vAlign w:val="center"/>
          </w:tcPr>
          <w:p w14:paraId="3F963E61" w14:textId="77777777" w:rsidR="00E62A7F" w:rsidRPr="006A6D26" w:rsidRDefault="00E62A7F" w:rsidP="007D22B1">
            <w:pPr>
              <w:spacing w:after="0"/>
              <w:contextualSpacing/>
              <w:jc w:val="both"/>
              <w:rPr>
                <w:bCs/>
                <w:sz w:val="20"/>
                <w:szCs w:val="20"/>
                <w:lang w:val="ro-RO" w:eastAsia="ru-RU"/>
              </w:rPr>
            </w:pPr>
            <w:r w:rsidRPr="006A6D26">
              <w:rPr>
                <w:bCs/>
                <w:sz w:val="20"/>
                <w:szCs w:val="20"/>
                <w:lang w:val="ro-RO" w:eastAsia="ru-RU"/>
              </w:rPr>
              <w:t>Viziuni diferite cu privire la sistemele informaționale/digitalizarea proceselor, precum și la procedurile de personal și sistemul de educație</w:t>
            </w:r>
          </w:p>
        </w:tc>
        <w:tc>
          <w:tcPr>
            <w:tcW w:w="531" w:type="pct"/>
            <w:vAlign w:val="center"/>
          </w:tcPr>
          <w:p w14:paraId="01E3DF7E"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1E01867E" w14:textId="77777777" w:rsidR="00E62A7F" w:rsidRPr="006A6D26" w:rsidRDefault="00E62A7F" w:rsidP="007D22B1">
            <w:pPr>
              <w:tabs>
                <w:tab w:val="left" w:pos="651"/>
              </w:tabs>
              <w:spacing w:after="0"/>
              <w:contextualSpacing/>
              <w:jc w:val="both"/>
              <w:rPr>
                <w:b/>
                <w:sz w:val="20"/>
                <w:szCs w:val="20"/>
                <w:lang w:val="ro-RO" w:eastAsia="ru-RU"/>
              </w:rPr>
            </w:pPr>
            <w:r w:rsidRPr="006A6D26">
              <w:rPr>
                <w:bCs/>
                <w:sz w:val="20"/>
                <w:szCs w:val="20"/>
                <w:lang w:val="ro-RO" w:eastAsia="ru-RU"/>
              </w:rPr>
              <w:t>Organizarea ședințelor cu factorii de decizie periodice și extraordinare</w:t>
            </w:r>
          </w:p>
        </w:tc>
      </w:tr>
      <w:tr w:rsidR="00E62A7F" w:rsidRPr="005B7C9A" w14:paraId="79FD25AD" w14:textId="77777777" w:rsidTr="007D22B1">
        <w:tc>
          <w:tcPr>
            <w:tcW w:w="2197" w:type="pct"/>
            <w:vAlign w:val="center"/>
          </w:tcPr>
          <w:p w14:paraId="530C660A" w14:textId="77777777" w:rsidR="00E62A7F" w:rsidRPr="006A6D26" w:rsidRDefault="00E62A7F" w:rsidP="007D22B1">
            <w:pPr>
              <w:spacing w:after="0"/>
              <w:contextualSpacing/>
              <w:jc w:val="both"/>
              <w:rPr>
                <w:bCs/>
                <w:sz w:val="20"/>
                <w:szCs w:val="20"/>
                <w:lang w:val="ro-RO" w:eastAsia="ru-RU"/>
              </w:rPr>
            </w:pPr>
            <w:r w:rsidRPr="006A6D26">
              <w:rPr>
                <w:bCs/>
                <w:sz w:val="20"/>
                <w:szCs w:val="20"/>
                <w:lang w:val="ro-RO" w:eastAsia="ru-RU"/>
              </w:rPr>
              <w:t xml:space="preserve">Lipsa susținerii din partea partenerilor/discreditarea. </w:t>
            </w:r>
            <w:r w:rsidRPr="006A6D26">
              <w:rPr>
                <w:bCs/>
                <w:iCs/>
                <w:sz w:val="20"/>
                <w:szCs w:val="20"/>
                <w:lang w:val="ro-RO" w:eastAsia="ru-RU"/>
              </w:rPr>
              <w:t>Stoparea finanțării proiectelor și programelor de dezvoltare sectoriale</w:t>
            </w:r>
          </w:p>
        </w:tc>
        <w:tc>
          <w:tcPr>
            <w:tcW w:w="531" w:type="pct"/>
            <w:vAlign w:val="center"/>
          </w:tcPr>
          <w:p w14:paraId="1DB36D18" w14:textId="77777777" w:rsidR="00E62A7F" w:rsidRPr="006A6D26" w:rsidRDefault="00E62A7F" w:rsidP="007D22B1">
            <w:pPr>
              <w:spacing w:after="0"/>
              <w:contextualSpacing/>
              <w:jc w:val="center"/>
              <w:rPr>
                <w:bCs/>
                <w:sz w:val="20"/>
                <w:szCs w:val="20"/>
                <w:lang w:val="ro-RO" w:eastAsia="ru-RU"/>
              </w:rPr>
            </w:pPr>
            <w:r w:rsidRPr="006A6D26">
              <w:rPr>
                <w:bCs/>
                <w:sz w:val="20"/>
                <w:szCs w:val="20"/>
                <w:lang w:val="ro-RO" w:eastAsia="ru-RU"/>
              </w:rPr>
              <w:t>Mediu</w:t>
            </w:r>
          </w:p>
        </w:tc>
        <w:tc>
          <w:tcPr>
            <w:tcW w:w="2272" w:type="pct"/>
            <w:vAlign w:val="center"/>
          </w:tcPr>
          <w:p w14:paraId="076CF4EF" w14:textId="77777777" w:rsidR="00E62A7F" w:rsidRPr="006A6D26" w:rsidRDefault="00E62A7F" w:rsidP="007D22B1">
            <w:pPr>
              <w:tabs>
                <w:tab w:val="left" w:pos="651"/>
              </w:tabs>
              <w:spacing w:after="0"/>
              <w:contextualSpacing/>
              <w:jc w:val="both"/>
              <w:rPr>
                <w:bCs/>
                <w:sz w:val="20"/>
                <w:szCs w:val="20"/>
                <w:lang w:val="ro-RO" w:eastAsia="ru-RU"/>
              </w:rPr>
            </w:pPr>
            <w:r w:rsidRPr="006A6D26">
              <w:rPr>
                <w:bCs/>
                <w:sz w:val="20"/>
                <w:szCs w:val="20"/>
                <w:lang w:val="ro-RO" w:eastAsia="ru-RU"/>
              </w:rPr>
              <w:t>Transparența procesului privind problemele care apar, comunicarea în format predictibil și clar pentru parteneri</w:t>
            </w:r>
          </w:p>
        </w:tc>
      </w:tr>
    </w:tbl>
    <w:p w14:paraId="1F4F27DF" w14:textId="77777777" w:rsidR="007C56BE" w:rsidRDefault="007C56BE" w:rsidP="00E62A7F">
      <w:pPr>
        <w:spacing w:after="0"/>
        <w:ind w:firstLine="540"/>
        <w:rPr>
          <w:color w:val="EE0000"/>
          <w:sz w:val="24"/>
          <w:szCs w:val="24"/>
          <w:highlight w:val="yellow"/>
          <w:lang w:val="ro-RO"/>
        </w:rPr>
      </w:pPr>
      <w:bookmarkStart w:id="3" w:name="_Toc101997522"/>
      <w:bookmarkStart w:id="4" w:name="_Toc110462475"/>
    </w:p>
    <w:p w14:paraId="1EEED742" w14:textId="77777777" w:rsidR="007C56BE" w:rsidRPr="007C56BE" w:rsidRDefault="007C56BE" w:rsidP="00E62A7F">
      <w:pPr>
        <w:spacing w:after="0"/>
        <w:ind w:firstLine="540"/>
        <w:rPr>
          <w:color w:val="EE0000"/>
          <w:sz w:val="24"/>
          <w:szCs w:val="24"/>
          <w:lang w:val="ro-RO"/>
        </w:rPr>
      </w:pPr>
    </w:p>
    <w:p w14:paraId="032C903D" w14:textId="05BC6133" w:rsidR="00E62A7F" w:rsidRPr="00E62A7F" w:rsidRDefault="00E62A7F" w:rsidP="00E62A7F">
      <w:pPr>
        <w:pStyle w:val="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 xml:space="preserve">Capitolul </w:t>
      </w:r>
      <w:r w:rsidR="00F87F75">
        <w:rPr>
          <w:rFonts w:ascii="Times New Roman" w:hAnsi="Times New Roman"/>
          <w:b/>
          <w:color w:val="auto"/>
          <w:sz w:val="24"/>
          <w:szCs w:val="24"/>
          <w:lang w:val="ro-RO"/>
        </w:rPr>
        <w:t>VIII</w:t>
      </w:r>
    </w:p>
    <w:p w14:paraId="5FA615F4" w14:textId="7C303074" w:rsidR="00E62A7F" w:rsidRPr="00E62A7F" w:rsidRDefault="00E62A7F" w:rsidP="00E62A7F">
      <w:pPr>
        <w:pStyle w:val="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AUTORITĂȚI/INSTITUȚII RESPONSABILE</w:t>
      </w:r>
      <w:bookmarkEnd w:id="3"/>
      <w:bookmarkEnd w:id="4"/>
    </w:p>
    <w:p w14:paraId="01A5086A" w14:textId="77777777" w:rsidR="00E62A7F" w:rsidRPr="005B7C9A" w:rsidRDefault="00E62A7F" w:rsidP="00E62A7F">
      <w:pPr>
        <w:spacing w:after="0"/>
        <w:ind w:firstLine="540"/>
        <w:rPr>
          <w:sz w:val="24"/>
          <w:szCs w:val="24"/>
          <w:lang w:val="ro-RO"/>
        </w:rPr>
      </w:pPr>
    </w:p>
    <w:p w14:paraId="33407BA9" w14:textId="77777777" w:rsidR="00E62A7F" w:rsidRPr="001661B6" w:rsidRDefault="00E62A7F" w:rsidP="00E62A7F">
      <w:pPr>
        <w:spacing w:after="0"/>
        <w:ind w:firstLine="540"/>
        <w:jc w:val="both"/>
        <w:rPr>
          <w:rFonts w:eastAsia="SimSun"/>
          <w:sz w:val="24"/>
          <w:szCs w:val="24"/>
          <w:lang w:val="ro-RO"/>
        </w:rPr>
      </w:pPr>
      <w:r w:rsidRPr="001661B6">
        <w:rPr>
          <w:sz w:val="24"/>
          <w:szCs w:val="24"/>
          <w:lang w:val="ro-RO"/>
        </w:rPr>
        <w:lastRenderedPageBreak/>
        <w:t xml:space="preserve">Rolurile în realizarea părții operaționale a prezentului Program sunt stabilite pentru fiecare acțiune în parte. </w:t>
      </w:r>
      <w:r w:rsidRPr="001661B6">
        <w:rPr>
          <w:rFonts w:eastAsia="SimSun"/>
          <w:sz w:val="24"/>
          <w:szCs w:val="24"/>
          <w:lang w:val="ro-RO"/>
        </w:rPr>
        <w:t>Prima instituție indicată va coordona implementarea acțiunii, urmată de instituțiile care contribuie la realizarea acesteia.</w:t>
      </w:r>
    </w:p>
    <w:p w14:paraId="089A6F76" w14:textId="029178DE" w:rsidR="00E62A7F" w:rsidRPr="005B7C9A" w:rsidRDefault="00E62A7F" w:rsidP="001B5C58">
      <w:pPr>
        <w:spacing w:after="0"/>
        <w:ind w:firstLine="540"/>
        <w:jc w:val="both"/>
        <w:rPr>
          <w:rFonts w:eastAsia="SimSun"/>
          <w:sz w:val="24"/>
          <w:szCs w:val="24"/>
          <w:lang w:val="ro-RO"/>
        </w:rPr>
      </w:pPr>
      <w:r w:rsidRPr="001661B6">
        <w:rPr>
          <w:rFonts w:eastAsia="SimSun"/>
          <w:sz w:val="24"/>
          <w:szCs w:val="24"/>
          <w:lang w:val="ro-RO"/>
        </w:rPr>
        <w:t>Astfel, în procesul elaborării și implementării prezentului Program sunt implicate/vizate  următoarele autorități și organizații ai societății civile.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5291"/>
      </w:tblGrid>
      <w:tr w:rsidR="006A6D26" w:rsidRPr="005B7C9A" w14:paraId="27C24536" w14:textId="77777777" w:rsidTr="007D22B1">
        <w:tc>
          <w:tcPr>
            <w:tcW w:w="2405" w:type="pct"/>
          </w:tcPr>
          <w:p w14:paraId="7FA492A2" w14:textId="77777777" w:rsidR="006A6D26" w:rsidRPr="005B7C9A" w:rsidRDefault="006A6D26" w:rsidP="007D22B1">
            <w:pPr>
              <w:pStyle w:val="91"/>
              <w:spacing w:before="0" w:beforeAutospacing="0" w:after="0" w:line="240" w:lineRule="auto"/>
              <w:jc w:val="center"/>
              <w:rPr>
                <w:rFonts w:ascii="Times New Roman" w:eastAsia="SimSun" w:hAnsi="Times New Roman"/>
                <w:b/>
                <w:sz w:val="20"/>
                <w:szCs w:val="20"/>
                <w:lang w:val="ro-RO" w:eastAsia="ru-RU"/>
              </w:rPr>
            </w:pPr>
            <w:r w:rsidRPr="005B7C9A">
              <w:rPr>
                <w:rFonts w:ascii="Times New Roman" w:eastAsia="SimSun" w:hAnsi="Times New Roman"/>
                <w:b/>
                <w:sz w:val="20"/>
                <w:szCs w:val="20"/>
                <w:lang w:val="ro-RO" w:eastAsia="ru-RU"/>
              </w:rPr>
              <w:t>Autorități</w:t>
            </w:r>
          </w:p>
        </w:tc>
        <w:tc>
          <w:tcPr>
            <w:tcW w:w="2595" w:type="pct"/>
          </w:tcPr>
          <w:p w14:paraId="679A5BD7" w14:textId="77777777" w:rsidR="006A6D26" w:rsidRPr="005B7C9A" w:rsidRDefault="006A6D26" w:rsidP="007D22B1">
            <w:pPr>
              <w:pStyle w:val="91"/>
              <w:spacing w:before="0" w:beforeAutospacing="0" w:after="0" w:line="240" w:lineRule="auto"/>
              <w:jc w:val="center"/>
              <w:rPr>
                <w:rFonts w:ascii="Times New Roman" w:eastAsia="SimSun" w:hAnsi="Times New Roman"/>
                <w:b/>
                <w:sz w:val="20"/>
                <w:szCs w:val="20"/>
                <w:lang w:val="ro-RO" w:eastAsia="ru-RU"/>
              </w:rPr>
            </w:pPr>
            <w:r w:rsidRPr="005B7C9A">
              <w:rPr>
                <w:rFonts w:ascii="Times New Roman" w:eastAsia="SimSun" w:hAnsi="Times New Roman"/>
                <w:b/>
                <w:sz w:val="20"/>
                <w:szCs w:val="20"/>
                <w:lang w:val="ro-RO" w:eastAsia="ru-RU"/>
              </w:rPr>
              <w:t>Organizațiile societății civile, parteneri de dezvoltare</w:t>
            </w:r>
          </w:p>
        </w:tc>
      </w:tr>
      <w:tr w:rsidR="006A6D26" w:rsidRPr="005B7C9A" w14:paraId="02729278" w14:textId="77777777" w:rsidTr="007D22B1">
        <w:trPr>
          <w:trHeight w:val="200"/>
        </w:trPr>
        <w:tc>
          <w:tcPr>
            <w:tcW w:w="2405" w:type="pct"/>
          </w:tcPr>
          <w:p w14:paraId="69D1ECF0" w14:textId="77777777" w:rsidR="006A6D26" w:rsidRPr="00F87F75" w:rsidRDefault="006A6D26" w:rsidP="006A6D26">
            <w:pPr>
              <w:pStyle w:val="91"/>
              <w:spacing w:before="0" w:beforeAutospacing="0" w:after="0" w:line="240" w:lineRule="auto"/>
              <w:jc w:val="both"/>
              <w:rPr>
                <w:rFonts w:ascii="Times New Roman" w:eastAsia="Calibri" w:hAnsi="Times New Roman"/>
                <w:sz w:val="20"/>
                <w:szCs w:val="20"/>
                <w:lang w:val="ro-RO" w:eastAsia="ru-RU"/>
              </w:rPr>
            </w:pPr>
            <w:r w:rsidRPr="00F87F75">
              <w:rPr>
                <w:rFonts w:ascii="Times New Roman" w:eastAsia="Calibri" w:hAnsi="Times New Roman"/>
                <w:sz w:val="20"/>
                <w:szCs w:val="20"/>
                <w:lang w:val="ro-RO" w:eastAsia="ru-RU"/>
              </w:rPr>
              <w:t>Ministerul Afacerilor Interne</w:t>
            </w:r>
          </w:p>
          <w:p w14:paraId="357BA72D"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Ministerul Justiției</w:t>
            </w:r>
          </w:p>
          <w:p w14:paraId="63C94A14"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Ministerul Educației și Cercetării</w:t>
            </w:r>
          </w:p>
          <w:p w14:paraId="3C2BCE36"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Ministerul Muncii și Protecției Sociale</w:t>
            </w:r>
          </w:p>
          <w:p w14:paraId="7792CB80"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Ministerul Sănătății</w:t>
            </w:r>
          </w:p>
          <w:p w14:paraId="5595DE31"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Ministerul Mediului</w:t>
            </w:r>
          </w:p>
          <w:p w14:paraId="7179DED5"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Ministerul Apărării</w:t>
            </w:r>
          </w:p>
          <w:p w14:paraId="6B6673D5"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Biroul politici de reintegrare</w:t>
            </w:r>
          </w:p>
          <w:p w14:paraId="5476A64B" w14:textId="77777777" w:rsidR="006A6D26" w:rsidRPr="00F87F75" w:rsidRDefault="006A6D26" w:rsidP="006A6D26">
            <w:pPr>
              <w:pStyle w:val="91"/>
              <w:spacing w:before="0" w:beforeAutospacing="0" w:after="0" w:line="240" w:lineRule="auto"/>
              <w:contextualSpacing/>
              <w:jc w:val="both"/>
              <w:rPr>
                <w:rFonts w:ascii="Times New Roman" w:eastAsia="Calibri" w:hAnsi="Times New Roman"/>
                <w:sz w:val="20"/>
                <w:szCs w:val="20"/>
                <w:lang w:val="ro-RO" w:eastAsia="ru-RU"/>
              </w:rPr>
            </w:pPr>
            <w:r w:rsidRPr="00F87F75">
              <w:rPr>
                <w:rFonts w:ascii="Times New Roman" w:eastAsia="SimSun" w:hAnsi="Times New Roman"/>
                <w:sz w:val="20"/>
                <w:szCs w:val="20"/>
                <w:lang w:val="ro-RO" w:eastAsia="ru-RU"/>
              </w:rPr>
              <w:t>Agenția Servicii Publice</w:t>
            </w:r>
          </w:p>
          <w:p w14:paraId="66D66515"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Agenția de Guvernare Electronică</w:t>
            </w:r>
          </w:p>
          <w:p w14:paraId="49F0CEAA"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Inspectoratul Național de Probațiune Administrația Națională a Penitenciarelor</w:t>
            </w:r>
          </w:p>
          <w:p w14:paraId="36352926"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Serviciul de Informații și Securitate</w:t>
            </w:r>
          </w:p>
          <w:p w14:paraId="30786508"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Serviciul de Protecție și Pază de Stat</w:t>
            </w:r>
          </w:p>
          <w:p w14:paraId="15C8AFA9"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Național Anticorupție</w:t>
            </w:r>
          </w:p>
          <w:p w14:paraId="4F07B25F"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Procuratura Generală</w:t>
            </w:r>
          </w:p>
          <w:p w14:paraId="7552C764"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Administrația Publică Locală</w:t>
            </w:r>
          </w:p>
          <w:p w14:paraId="03B84237"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trike/>
                <w:sz w:val="20"/>
                <w:szCs w:val="20"/>
                <w:lang w:val="ro-RO" w:eastAsia="ru-RU"/>
              </w:rPr>
            </w:pPr>
            <w:r w:rsidRPr="00F87F75">
              <w:rPr>
                <w:rFonts w:ascii="Times New Roman" w:eastAsia="Calibri" w:hAnsi="Times New Roman"/>
                <w:sz w:val="20"/>
                <w:szCs w:val="20"/>
                <w:lang w:val="ro-RO" w:eastAsia="ru-RU"/>
              </w:rPr>
              <w:t>Primăria municipiului Chișinău</w:t>
            </w:r>
          </w:p>
          <w:p w14:paraId="4ED0E742" w14:textId="77777777" w:rsidR="006A6D26" w:rsidRPr="00F87F75" w:rsidRDefault="006A6D26" w:rsidP="006A6D26">
            <w:pPr>
              <w:pStyle w:val="91"/>
              <w:spacing w:before="0" w:beforeAutospacing="0" w:after="0" w:line="240" w:lineRule="auto"/>
              <w:contextualSpacing/>
              <w:jc w:val="both"/>
              <w:rPr>
                <w:rFonts w:ascii="Times New Roman" w:eastAsia="Calibri" w:hAnsi="Times New Roman"/>
                <w:sz w:val="20"/>
                <w:szCs w:val="20"/>
                <w:lang w:val="ro-RO" w:eastAsia="ru-RU"/>
              </w:rPr>
            </w:pPr>
            <w:r w:rsidRPr="00F87F75">
              <w:rPr>
                <w:rFonts w:ascii="Times New Roman" w:eastAsia="Calibri" w:hAnsi="Times New Roman"/>
                <w:sz w:val="20"/>
                <w:szCs w:val="20"/>
                <w:lang w:val="ro-RO" w:eastAsia="ru-RU"/>
              </w:rPr>
              <w:t xml:space="preserve">Agenția Relații Interetnice </w:t>
            </w:r>
          </w:p>
          <w:p w14:paraId="3F44C06B"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sz w:val="20"/>
                <w:szCs w:val="20"/>
                <w:lang w:val="ro-RO" w:eastAsia="ru-RU"/>
              </w:rPr>
              <w:t>Consiliul Suprem de Securitate</w:t>
            </w:r>
          </w:p>
          <w:p w14:paraId="4B96A2DC" w14:textId="77777777" w:rsidR="006A6D26" w:rsidRPr="00F87F75" w:rsidRDefault="006A6D26" w:rsidP="006A6D26">
            <w:pPr>
              <w:pStyle w:val="91"/>
              <w:spacing w:before="0" w:beforeAutospacing="0" w:after="0" w:line="240" w:lineRule="auto"/>
              <w:contextualSpacing/>
              <w:jc w:val="both"/>
              <w:rPr>
                <w:rFonts w:ascii="Times New Roman" w:eastAsia="Calibri" w:hAnsi="Times New Roman"/>
                <w:sz w:val="20"/>
                <w:szCs w:val="20"/>
                <w:lang w:val="ro-RO" w:eastAsia="ru-RU"/>
              </w:rPr>
            </w:pPr>
            <w:r w:rsidRPr="00F87F75">
              <w:rPr>
                <w:rFonts w:ascii="Times New Roman" w:eastAsia="SimSun" w:hAnsi="Times New Roman"/>
                <w:sz w:val="20"/>
                <w:szCs w:val="20"/>
                <w:lang w:val="ro-RO" w:eastAsia="ru-RU"/>
              </w:rPr>
              <w:t>Oficiul Avocatului Poporului</w:t>
            </w:r>
          </w:p>
          <w:p w14:paraId="6CF2B187" w14:textId="15EA90D4" w:rsidR="006A6D26" w:rsidRPr="00F87F75" w:rsidRDefault="006A6D26" w:rsidP="006A6D26">
            <w:pPr>
              <w:pStyle w:val="91"/>
              <w:spacing w:before="0" w:beforeAutospacing="0" w:after="0" w:line="240" w:lineRule="auto"/>
              <w:contextualSpacing/>
              <w:jc w:val="both"/>
              <w:rPr>
                <w:rFonts w:ascii="Times New Roman" w:eastAsia="Calibri" w:hAnsi="Times New Roman"/>
                <w:color w:val="161616"/>
                <w:sz w:val="20"/>
                <w:szCs w:val="20"/>
                <w:shd w:val="clear" w:color="auto" w:fill="FFFFFF"/>
                <w:lang w:val="ro-RO" w:eastAsia="ru-RU"/>
              </w:rPr>
            </w:pPr>
            <w:r w:rsidRPr="00F87F75">
              <w:rPr>
                <w:rFonts w:ascii="Times New Roman" w:eastAsia="Calibri" w:hAnsi="Times New Roman"/>
                <w:color w:val="161616"/>
                <w:sz w:val="20"/>
                <w:szCs w:val="20"/>
                <w:shd w:val="clear" w:color="auto" w:fill="FFFFFF"/>
                <w:lang w:val="ro-RO" w:eastAsia="ru-RU"/>
              </w:rPr>
              <w:t>Consiliul pentru prevenirea și eliminarea discriminării și asigurarea egalității</w:t>
            </w:r>
          </w:p>
          <w:p w14:paraId="62C2BF59" w14:textId="58867C02" w:rsidR="001661B6" w:rsidRPr="00F87F75" w:rsidRDefault="001661B6" w:rsidP="006A6D26">
            <w:pPr>
              <w:pStyle w:val="91"/>
              <w:spacing w:before="0" w:beforeAutospacing="0" w:after="0" w:line="240" w:lineRule="auto"/>
              <w:contextualSpacing/>
              <w:jc w:val="both"/>
              <w:rPr>
                <w:rFonts w:ascii="Times New Roman" w:eastAsia="Calibri" w:hAnsi="Times New Roman"/>
                <w:color w:val="161616"/>
                <w:sz w:val="20"/>
                <w:szCs w:val="20"/>
                <w:shd w:val="clear" w:color="auto" w:fill="FFFFFF"/>
                <w:lang w:val="ro-RO" w:eastAsia="ru-RU"/>
              </w:rPr>
            </w:pPr>
            <w:r w:rsidRPr="00F87F75">
              <w:rPr>
                <w:rFonts w:ascii="Times New Roman" w:eastAsia="Calibri" w:hAnsi="Times New Roman"/>
                <w:color w:val="161616"/>
                <w:sz w:val="20"/>
                <w:szCs w:val="20"/>
                <w:shd w:val="clear" w:color="auto" w:fill="FFFFFF"/>
                <w:lang w:val="ro-RO" w:eastAsia="ru-RU"/>
              </w:rPr>
              <w:t>Institutul Național de Justiție</w:t>
            </w:r>
          </w:p>
          <w:p w14:paraId="640DBCFD" w14:textId="5312AE7A" w:rsidR="0058254F" w:rsidRPr="00F87F75" w:rsidRDefault="0058254F"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Agenția Național</w:t>
            </w:r>
            <w:r w:rsidR="00F87F75" w:rsidRPr="00F87F75">
              <w:rPr>
                <w:rFonts w:ascii="Times New Roman" w:eastAsia="SimSun" w:hAnsi="Times New Roman"/>
                <w:sz w:val="20"/>
                <w:szCs w:val="20"/>
                <w:lang w:val="ro-RO" w:eastAsia="ru-RU"/>
              </w:rPr>
              <w:t>ă</w:t>
            </w:r>
            <w:r w:rsidRPr="00F87F75">
              <w:rPr>
                <w:rFonts w:ascii="Times New Roman" w:eastAsia="SimSun" w:hAnsi="Times New Roman"/>
                <w:sz w:val="20"/>
                <w:szCs w:val="20"/>
                <w:lang w:val="ro-RO" w:eastAsia="ru-RU"/>
              </w:rPr>
              <w:t xml:space="preserve"> de Prevenire și Combatere a Violenței împotriva Femeilor și a Violenței în Familie</w:t>
            </w:r>
          </w:p>
          <w:p w14:paraId="62E5F6FE" w14:textId="5119E779" w:rsidR="006A6D26" w:rsidRPr="00F87F75" w:rsidRDefault="006A6D26" w:rsidP="007D22B1">
            <w:pPr>
              <w:pStyle w:val="91"/>
              <w:spacing w:before="0" w:beforeAutospacing="0" w:after="0" w:line="240" w:lineRule="auto"/>
              <w:jc w:val="both"/>
              <w:rPr>
                <w:rFonts w:ascii="Times New Roman" w:eastAsia="Calibri" w:hAnsi="Times New Roman"/>
                <w:sz w:val="20"/>
                <w:szCs w:val="20"/>
                <w:lang w:val="ro-RO" w:eastAsia="ru-RU"/>
              </w:rPr>
            </w:pPr>
          </w:p>
        </w:tc>
        <w:tc>
          <w:tcPr>
            <w:tcW w:w="2595" w:type="pct"/>
          </w:tcPr>
          <w:p w14:paraId="66B2227D"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Regatul Suediei </w:t>
            </w:r>
          </w:p>
          <w:p w14:paraId="5AE1FEAF"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Ambasada SUA în Moldova</w:t>
            </w:r>
          </w:p>
          <w:p w14:paraId="2AF46148"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UN WOMEN Moldova</w:t>
            </w:r>
          </w:p>
          <w:p w14:paraId="7C44DB99"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Asociația „</w:t>
            </w:r>
            <w:proofErr w:type="spellStart"/>
            <w:r w:rsidRPr="00F87F75">
              <w:rPr>
                <w:rFonts w:ascii="Times New Roman" w:eastAsia="SimSun" w:hAnsi="Times New Roman"/>
                <w:sz w:val="20"/>
                <w:szCs w:val="20"/>
                <w:lang w:val="ro-RO" w:eastAsia="ru-RU"/>
              </w:rPr>
              <w:t>Promo</w:t>
            </w:r>
            <w:proofErr w:type="spellEnd"/>
            <w:r w:rsidRPr="00F87F75">
              <w:rPr>
                <w:rFonts w:ascii="Times New Roman" w:eastAsia="SimSun" w:hAnsi="Times New Roman"/>
                <w:sz w:val="20"/>
                <w:szCs w:val="20"/>
                <w:lang w:val="ro-RO" w:eastAsia="ru-RU"/>
              </w:rPr>
              <w:t>-LEX”</w:t>
            </w:r>
          </w:p>
          <w:p w14:paraId="78A9719E"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eastAsia="SimSun"/>
                <w:sz w:val="20"/>
                <w:szCs w:val="20"/>
                <w:lang w:val="ro-RO" w:eastAsia="ru-RU"/>
              </w:rPr>
              <w:t>Fundația Soros Moldova</w:t>
            </w:r>
          </w:p>
          <w:p w14:paraId="0C0909CD"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de Drept al Femeilor</w:t>
            </w:r>
          </w:p>
          <w:p w14:paraId="51C9B8F7"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Asociația Femeilor din Poliție</w:t>
            </w:r>
          </w:p>
          <w:p w14:paraId="42C9BE1D"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Coaliția „Viața fără Violență”</w:t>
            </w:r>
          </w:p>
          <w:p w14:paraId="508F24F8"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de informații GENDERDOC-M</w:t>
            </w:r>
          </w:p>
          <w:p w14:paraId="1E8A0E0B" w14:textId="77777777" w:rsidR="006A6D26" w:rsidRPr="00F87F75" w:rsidRDefault="006A6D26" w:rsidP="006A6D26">
            <w:pPr>
              <w:pStyle w:val="91"/>
              <w:spacing w:before="0" w:beforeAutospacing="0" w:after="0" w:line="240" w:lineRule="auto"/>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Institutul de Politici Publice </w:t>
            </w:r>
          </w:p>
          <w:p w14:paraId="6DEF30F5"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Politici și Reforme</w:t>
            </w:r>
          </w:p>
          <w:p w14:paraId="1123F51D"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sz w:val="20"/>
                <w:szCs w:val="20"/>
                <w:lang w:val="ro-RO" w:eastAsia="ru-RU"/>
              </w:rPr>
              <w:t>Alianța Organizațiilor pentru Persoane cu Dizabilități din Republica Moldova</w:t>
            </w:r>
          </w:p>
          <w:p w14:paraId="47397A32" w14:textId="77777777" w:rsidR="006A6D26" w:rsidRPr="00F87F75" w:rsidRDefault="006A6D26" w:rsidP="006A6D26">
            <w:pPr>
              <w:pStyle w:val="91"/>
              <w:spacing w:before="0" w:beforeAutospacing="0" w:after="0" w:line="240" w:lineRule="auto"/>
              <w:contextualSpacing/>
              <w:rPr>
                <w:rFonts w:ascii="Times New Roman" w:eastAsia="Calibri" w:hAnsi="Times New Roman"/>
                <w:iCs/>
                <w:sz w:val="20"/>
                <w:szCs w:val="20"/>
                <w:lang w:val="ro-RO" w:eastAsia="ru-RU"/>
              </w:rPr>
            </w:pPr>
            <w:r w:rsidRPr="00F87F75">
              <w:rPr>
                <w:rFonts w:ascii="Times New Roman" w:eastAsia="Calibri" w:hAnsi="Times New Roman"/>
                <w:sz w:val="20"/>
                <w:szCs w:val="20"/>
                <w:lang w:val="ro-RO" w:eastAsia="ru-RU"/>
              </w:rPr>
              <w:t>Centrul de la Geneva pentru Guvernarea Sectorului de Securitate</w:t>
            </w:r>
            <w:r w:rsidRPr="00F87F75">
              <w:rPr>
                <w:rFonts w:ascii="Times New Roman" w:eastAsia="SimSun" w:hAnsi="Times New Roman"/>
                <w:sz w:val="20"/>
                <w:szCs w:val="20"/>
                <w:lang w:val="ro-RO" w:eastAsia="ru-RU"/>
              </w:rPr>
              <w:t xml:space="preserve"> (DCAF</w:t>
            </w:r>
            <w:r w:rsidRPr="00F87F75">
              <w:rPr>
                <w:rFonts w:ascii="Times New Roman" w:eastAsia="Calibri" w:hAnsi="Times New Roman"/>
                <w:sz w:val="20"/>
                <w:szCs w:val="20"/>
                <w:lang w:val="ro-RO" w:eastAsia="ru-RU"/>
              </w:rPr>
              <w:t>)</w:t>
            </w:r>
          </w:p>
          <w:p w14:paraId="0311BB2A" w14:textId="77777777" w:rsidR="006A6D26" w:rsidRPr="00F87F75" w:rsidRDefault="006A6D26" w:rsidP="006A6D26">
            <w:pPr>
              <w:pStyle w:val="91"/>
              <w:spacing w:before="0" w:beforeAutospacing="0" w:after="0" w:line="240" w:lineRule="auto"/>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Centrul Parteneriat pentru Dezvoltare</w:t>
            </w:r>
          </w:p>
          <w:p w14:paraId="5A45FC6B"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iCs/>
                <w:sz w:val="20"/>
                <w:szCs w:val="20"/>
                <w:lang w:val="ro-RO" w:eastAsia="ru-RU"/>
              </w:rPr>
              <w:t>Alianța „</w:t>
            </w:r>
            <w:proofErr w:type="spellStart"/>
            <w:r w:rsidRPr="00F87F75">
              <w:rPr>
                <w:rFonts w:ascii="Times New Roman" w:eastAsia="Calibri" w:hAnsi="Times New Roman"/>
                <w:iCs/>
                <w:sz w:val="20"/>
                <w:szCs w:val="20"/>
                <w:lang w:val="ro-RO" w:eastAsia="ru-RU"/>
              </w:rPr>
              <w:t>Infonet</w:t>
            </w:r>
            <w:proofErr w:type="spellEnd"/>
            <w:r w:rsidRPr="00F87F75">
              <w:rPr>
                <w:rFonts w:ascii="Times New Roman" w:eastAsia="Calibri" w:hAnsi="Times New Roman"/>
                <w:iCs/>
                <w:sz w:val="20"/>
                <w:szCs w:val="20"/>
                <w:lang w:val="ro-RO" w:eastAsia="ru-RU"/>
              </w:rPr>
              <w:t>”</w:t>
            </w:r>
          </w:p>
          <w:p w14:paraId="49F17D9F" w14:textId="77777777" w:rsidR="006A6D26" w:rsidRPr="00F87F75" w:rsidRDefault="006A6D26" w:rsidP="006A6D26">
            <w:pPr>
              <w:pStyle w:val="91"/>
              <w:autoSpaceDE w:val="0"/>
              <w:autoSpaceDN w:val="0"/>
              <w:adjustRightInd w:val="0"/>
              <w:spacing w:before="0" w:beforeAutospacing="0" w:after="0" w:line="240" w:lineRule="auto"/>
              <w:contextualSpacing/>
              <w:rPr>
                <w:rFonts w:ascii="Times New Roman" w:eastAsia="Calibri" w:hAnsi="Times New Roman"/>
                <w:sz w:val="20"/>
                <w:szCs w:val="20"/>
                <w:lang w:val="ro-RO" w:eastAsia="ru-RU"/>
              </w:rPr>
            </w:pPr>
            <w:r w:rsidRPr="00F87F75">
              <w:rPr>
                <w:rFonts w:ascii="Times New Roman" w:eastAsia="Calibri" w:hAnsi="Times New Roman"/>
                <w:sz w:val="20"/>
                <w:szCs w:val="20"/>
                <w:lang w:val="ro-RO" w:eastAsia="ru-RU"/>
              </w:rPr>
              <w:t>Centrul Național al Romilor</w:t>
            </w:r>
          </w:p>
          <w:p w14:paraId="506D2B0E" w14:textId="77777777" w:rsidR="006A6D26" w:rsidRPr="00F87F75" w:rsidRDefault="006A6D26" w:rsidP="006A6D26">
            <w:pPr>
              <w:pStyle w:val="91"/>
              <w:spacing w:before="0" w:beforeAutospacing="0" w:after="0" w:line="240" w:lineRule="auto"/>
              <w:contextualSpacing/>
              <w:jc w:val="both"/>
              <w:rPr>
                <w:rFonts w:ascii="Times New Roman" w:eastAsia="SimSun" w:hAnsi="Times New Roman"/>
                <w:sz w:val="20"/>
                <w:szCs w:val="20"/>
                <w:lang w:val="ro-RO" w:eastAsia="ru-RU"/>
              </w:rPr>
            </w:pPr>
            <w:r w:rsidRPr="00F87F75">
              <w:rPr>
                <w:rFonts w:ascii="Times New Roman" w:eastAsia="Calibri" w:hAnsi="Times New Roman"/>
                <w:sz w:val="20"/>
                <w:szCs w:val="20"/>
                <w:lang w:val="ro-RO" w:eastAsia="ru-RU"/>
              </w:rPr>
              <w:t>Coaliția „Vocea romilor-CVR”</w:t>
            </w:r>
          </w:p>
          <w:p w14:paraId="0719A051" w14:textId="77777777" w:rsidR="006A6D26" w:rsidRPr="00F87F75" w:rsidRDefault="006A6D26" w:rsidP="006A6D26">
            <w:pPr>
              <w:pStyle w:val="91"/>
              <w:autoSpaceDE w:val="0"/>
              <w:autoSpaceDN w:val="0"/>
              <w:adjustRightInd w:val="0"/>
              <w:spacing w:before="0" w:beforeAutospacing="0" w:after="0" w:line="240" w:lineRule="auto"/>
              <w:contextualSpacing/>
              <w:rPr>
                <w:rFonts w:ascii="Times New Roman" w:eastAsia="Calibri" w:hAnsi="Times New Roman"/>
                <w:sz w:val="20"/>
                <w:szCs w:val="20"/>
                <w:lang w:val="ro-RO" w:eastAsia="ru-RU"/>
              </w:rPr>
            </w:pPr>
            <w:r w:rsidRPr="00F87F75">
              <w:rPr>
                <w:rFonts w:ascii="Times New Roman" w:eastAsia="Calibri" w:hAnsi="Times New Roman"/>
                <w:color w:val="000000"/>
                <w:sz w:val="20"/>
                <w:szCs w:val="20"/>
                <w:lang w:val="ro-RO" w:eastAsia="ru-RU"/>
              </w:rPr>
              <w:t>Asociația Nevăzătorilor din Moldova</w:t>
            </w:r>
          </w:p>
          <w:p w14:paraId="03CD70A8" w14:textId="77777777" w:rsidR="006A6D26" w:rsidRPr="00F87F75" w:rsidRDefault="006A6D26" w:rsidP="006A6D26">
            <w:pPr>
              <w:pStyle w:val="91"/>
              <w:autoSpaceDE w:val="0"/>
              <w:autoSpaceDN w:val="0"/>
              <w:adjustRightInd w:val="0"/>
              <w:spacing w:before="0" w:beforeAutospacing="0" w:after="0" w:line="240" w:lineRule="auto"/>
              <w:contextualSpacing/>
              <w:rPr>
                <w:rFonts w:ascii="Times New Roman" w:eastAsia="SimSun" w:hAnsi="Times New Roman"/>
                <w:sz w:val="20"/>
                <w:szCs w:val="20"/>
                <w:lang w:val="ro-RO" w:eastAsia="ru-RU"/>
              </w:rPr>
            </w:pPr>
            <w:r w:rsidRPr="00F87F75">
              <w:rPr>
                <w:rFonts w:ascii="Times New Roman" w:eastAsia="Calibri" w:hAnsi="Times New Roman"/>
                <w:color w:val="000000"/>
                <w:sz w:val="20"/>
                <w:szCs w:val="20"/>
                <w:lang w:val="ro-RO" w:eastAsia="ru-RU"/>
              </w:rPr>
              <w:t>Asociația Surzilor din Republica Moldova</w:t>
            </w:r>
            <w:r w:rsidRPr="00F87F75">
              <w:rPr>
                <w:rFonts w:ascii="Times New Roman" w:eastAsia="SimSun" w:hAnsi="Times New Roman"/>
                <w:sz w:val="20"/>
                <w:szCs w:val="20"/>
                <w:lang w:val="ro-RO" w:eastAsia="ru-RU"/>
              </w:rPr>
              <w:t xml:space="preserve"> Asociația „Motivație”</w:t>
            </w:r>
          </w:p>
          <w:p w14:paraId="06B4F4E4" w14:textId="77777777" w:rsidR="007F4FE2" w:rsidRPr="00F87F75" w:rsidRDefault="007F4FE2" w:rsidP="007F4FE2">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Centrul </w:t>
            </w:r>
            <w:proofErr w:type="spellStart"/>
            <w:r w:rsidRPr="00F87F75">
              <w:rPr>
                <w:rFonts w:ascii="Times New Roman" w:eastAsia="SimSun" w:hAnsi="Times New Roman"/>
                <w:sz w:val="20"/>
                <w:szCs w:val="20"/>
                <w:lang w:val="ro-RO" w:eastAsia="ru-RU"/>
              </w:rPr>
              <w:t>Naţional</w:t>
            </w:r>
            <w:proofErr w:type="spellEnd"/>
            <w:r w:rsidRPr="00F87F75">
              <w:rPr>
                <w:rFonts w:ascii="Times New Roman" w:eastAsia="SimSun" w:hAnsi="Times New Roman"/>
                <w:sz w:val="20"/>
                <w:szCs w:val="20"/>
                <w:lang w:val="ro-RO" w:eastAsia="ru-RU"/>
              </w:rPr>
              <w:t xml:space="preserve"> de Prevenire a Abuzului </w:t>
            </w:r>
            <w:proofErr w:type="spellStart"/>
            <w:r w:rsidRPr="00F87F75">
              <w:rPr>
                <w:rFonts w:ascii="Times New Roman" w:eastAsia="SimSun" w:hAnsi="Times New Roman"/>
                <w:sz w:val="20"/>
                <w:szCs w:val="20"/>
                <w:lang w:val="ro-RO" w:eastAsia="ru-RU"/>
              </w:rPr>
              <w:t>faţă</w:t>
            </w:r>
            <w:proofErr w:type="spellEnd"/>
            <w:r w:rsidRPr="00F87F75">
              <w:rPr>
                <w:rFonts w:ascii="Times New Roman" w:eastAsia="SimSun" w:hAnsi="Times New Roman"/>
                <w:sz w:val="20"/>
                <w:szCs w:val="20"/>
                <w:lang w:val="ro-RO" w:eastAsia="ru-RU"/>
              </w:rPr>
              <w:t xml:space="preserve"> de Copii CNPAC</w:t>
            </w:r>
          </w:p>
          <w:p w14:paraId="62395314" w14:textId="77777777" w:rsidR="007F4FE2" w:rsidRPr="00F87F75" w:rsidRDefault="007F4FE2" w:rsidP="007F4FE2">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AO Asociația pentru Abilitarea Copilului și Familiei „AVE Copiii”</w:t>
            </w:r>
          </w:p>
          <w:p w14:paraId="1ECD409B" w14:textId="77777777" w:rsidR="007F4FE2" w:rsidRPr="00F87F75" w:rsidRDefault="007F4FE2" w:rsidP="007F4FE2">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Fundația Terre des </w:t>
            </w:r>
            <w:proofErr w:type="spellStart"/>
            <w:r w:rsidRPr="00F87F75">
              <w:rPr>
                <w:rFonts w:ascii="Times New Roman" w:eastAsia="SimSun" w:hAnsi="Times New Roman"/>
                <w:sz w:val="20"/>
                <w:szCs w:val="20"/>
                <w:lang w:val="ro-RO" w:eastAsia="ru-RU"/>
              </w:rPr>
              <w:t>hommes</w:t>
            </w:r>
            <w:proofErr w:type="spellEnd"/>
            <w:r w:rsidRPr="00F87F75">
              <w:rPr>
                <w:rFonts w:ascii="Times New Roman" w:eastAsia="SimSun" w:hAnsi="Times New Roman"/>
                <w:sz w:val="20"/>
                <w:szCs w:val="20"/>
                <w:lang w:val="ro-RO" w:eastAsia="ru-RU"/>
              </w:rPr>
              <w:t xml:space="preserve"> Moldova </w:t>
            </w:r>
          </w:p>
          <w:p w14:paraId="0B87EE78" w14:textId="77777777" w:rsidR="007F4FE2" w:rsidRPr="00F87F75" w:rsidRDefault="007F4FE2" w:rsidP="007F4FE2">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Centrul </w:t>
            </w:r>
            <w:proofErr w:type="spellStart"/>
            <w:r w:rsidRPr="00F87F75">
              <w:rPr>
                <w:rFonts w:ascii="Times New Roman" w:eastAsia="SimSun" w:hAnsi="Times New Roman"/>
                <w:sz w:val="20"/>
                <w:szCs w:val="20"/>
                <w:lang w:val="ro-RO" w:eastAsia="ru-RU"/>
              </w:rPr>
              <w:t>Internaţional</w:t>
            </w:r>
            <w:proofErr w:type="spellEnd"/>
            <w:r w:rsidRPr="00F87F75">
              <w:rPr>
                <w:rFonts w:ascii="Times New Roman" w:eastAsia="SimSun" w:hAnsi="Times New Roman"/>
                <w:sz w:val="20"/>
                <w:szCs w:val="20"/>
                <w:lang w:val="ro-RO" w:eastAsia="ru-RU"/>
              </w:rPr>
              <w:t xml:space="preserve"> „La Strada”</w:t>
            </w:r>
          </w:p>
          <w:p w14:paraId="0558624D" w14:textId="77777777" w:rsidR="0058254F" w:rsidRPr="00F87F75" w:rsidRDefault="007F4FE2" w:rsidP="0058254F">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 xml:space="preserve">Federația Moldovenească de Fotbal </w:t>
            </w:r>
          </w:p>
          <w:p w14:paraId="47693561" w14:textId="77777777" w:rsidR="0058254F" w:rsidRPr="00F87F75" w:rsidRDefault="0058254F" w:rsidP="0058254F">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UNICEF în Moldova</w:t>
            </w:r>
          </w:p>
          <w:p w14:paraId="0DC87E3A" w14:textId="77777777" w:rsidR="0058254F" w:rsidRPr="00F87F75" w:rsidRDefault="0058254F" w:rsidP="0058254F">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Alianța ONG-urilor Active în domeniul Protecției Sociale a Copilului și Familiei (APSCF)</w:t>
            </w:r>
          </w:p>
          <w:p w14:paraId="2B4147F7" w14:textId="5F9F1F28" w:rsidR="0058254F" w:rsidRPr="00F87F75" w:rsidRDefault="0058254F" w:rsidP="0058254F">
            <w:pPr>
              <w:pStyle w:val="91"/>
              <w:autoSpaceDE w:val="0"/>
              <w:autoSpaceDN w:val="0"/>
              <w:adjustRightInd w:val="0"/>
              <w:spacing w:after="0"/>
              <w:contextualSpacing/>
              <w:rPr>
                <w:rFonts w:ascii="Times New Roman" w:eastAsia="SimSun" w:hAnsi="Times New Roman"/>
                <w:sz w:val="20"/>
                <w:szCs w:val="20"/>
                <w:lang w:val="ro-RO" w:eastAsia="ru-RU"/>
              </w:rPr>
            </w:pPr>
            <w:r w:rsidRPr="00F87F75">
              <w:rPr>
                <w:rFonts w:ascii="Times New Roman" w:eastAsia="SimSun" w:hAnsi="Times New Roman"/>
                <w:sz w:val="20"/>
                <w:szCs w:val="20"/>
                <w:lang w:val="ro-RO" w:eastAsia="ru-RU"/>
              </w:rPr>
              <w:t>A.O. Centrul Național de Formare Asistență Consiliere Educație din Moldova ,,CNFACEM’’</w:t>
            </w:r>
          </w:p>
        </w:tc>
      </w:tr>
    </w:tbl>
    <w:p w14:paraId="27B2ABFB" w14:textId="1E2684E2" w:rsidR="00E62A7F" w:rsidRDefault="00E62A7F" w:rsidP="00E62A7F">
      <w:pPr>
        <w:spacing w:after="0"/>
        <w:ind w:firstLine="540"/>
        <w:jc w:val="both"/>
        <w:rPr>
          <w:rFonts w:eastAsia="SimSun"/>
          <w:sz w:val="24"/>
          <w:szCs w:val="24"/>
          <w:lang w:val="ro-RO"/>
        </w:rPr>
      </w:pPr>
    </w:p>
    <w:p w14:paraId="108E993D" w14:textId="77777777" w:rsidR="00F87F75" w:rsidRDefault="00F87F75" w:rsidP="00E62A7F">
      <w:pPr>
        <w:pStyle w:val="1"/>
        <w:spacing w:before="0"/>
        <w:jc w:val="center"/>
        <w:rPr>
          <w:rFonts w:ascii="Times New Roman" w:hAnsi="Times New Roman"/>
          <w:b/>
          <w:color w:val="auto"/>
          <w:sz w:val="24"/>
          <w:szCs w:val="24"/>
          <w:lang w:val="ro-RO"/>
        </w:rPr>
      </w:pPr>
      <w:bookmarkStart w:id="5" w:name="_Toc101997523"/>
      <w:bookmarkStart w:id="6" w:name="_Toc110462476"/>
    </w:p>
    <w:p w14:paraId="4F174507" w14:textId="5FB3D210" w:rsidR="00E62A7F" w:rsidRPr="00E62A7F" w:rsidRDefault="00E62A7F" w:rsidP="00E62A7F">
      <w:pPr>
        <w:pStyle w:val="1"/>
        <w:spacing w:before="0"/>
        <w:jc w:val="center"/>
        <w:rPr>
          <w:rFonts w:ascii="Times New Roman" w:hAnsi="Times New Roman"/>
          <w:b/>
          <w:color w:val="auto"/>
          <w:sz w:val="24"/>
          <w:szCs w:val="24"/>
          <w:lang w:val="ro-RO"/>
        </w:rPr>
      </w:pPr>
      <w:r w:rsidRPr="00E62A7F">
        <w:rPr>
          <w:rFonts w:ascii="Times New Roman" w:hAnsi="Times New Roman"/>
          <w:b/>
          <w:color w:val="auto"/>
          <w:sz w:val="24"/>
          <w:szCs w:val="24"/>
          <w:lang w:val="ro-RO"/>
        </w:rPr>
        <w:t xml:space="preserve">Capitolul </w:t>
      </w:r>
      <w:r w:rsidR="00F87F75">
        <w:rPr>
          <w:rFonts w:ascii="Times New Roman" w:hAnsi="Times New Roman"/>
          <w:b/>
          <w:color w:val="auto"/>
          <w:sz w:val="24"/>
          <w:szCs w:val="24"/>
          <w:lang w:val="ro-RO"/>
        </w:rPr>
        <w:t>I</w:t>
      </w:r>
      <w:r w:rsidRPr="00E62A7F">
        <w:rPr>
          <w:rFonts w:ascii="Times New Roman" w:hAnsi="Times New Roman"/>
          <w:b/>
          <w:color w:val="auto"/>
          <w:sz w:val="24"/>
          <w:szCs w:val="24"/>
          <w:lang w:val="ro-RO"/>
        </w:rPr>
        <w:t>X</w:t>
      </w:r>
    </w:p>
    <w:bookmarkEnd w:id="5"/>
    <w:bookmarkEnd w:id="6"/>
    <w:p w14:paraId="66488B83" w14:textId="081D1B7A" w:rsidR="00F87F75" w:rsidRPr="00F87F75" w:rsidRDefault="007C56BE" w:rsidP="00F87F75">
      <w:pPr>
        <w:jc w:val="center"/>
        <w:rPr>
          <w:b/>
          <w:sz w:val="24"/>
          <w:szCs w:val="24"/>
          <w:lang w:val="ro-RO"/>
        </w:rPr>
      </w:pPr>
      <w:r w:rsidRPr="00F87F75">
        <w:rPr>
          <w:b/>
          <w:sz w:val="24"/>
          <w:szCs w:val="24"/>
          <w:lang w:val="ro-RO"/>
        </w:rPr>
        <w:t>PROCEDURI DE MONITORIZARE, EVALUARE ȘI RAPORTARE</w:t>
      </w:r>
    </w:p>
    <w:p w14:paraId="7B7ACDE4" w14:textId="7CE0C3AB" w:rsidR="00E62A7F" w:rsidRPr="00324E95" w:rsidRDefault="00E62A7F" w:rsidP="00E62A7F">
      <w:pPr>
        <w:spacing w:after="0"/>
        <w:ind w:firstLine="540"/>
        <w:jc w:val="both"/>
        <w:rPr>
          <w:sz w:val="24"/>
          <w:szCs w:val="24"/>
          <w:lang w:val="ro-RO"/>
        </w:rPr>
      </w:pPr>
      <w:r w:rsidRPr="00324E95">
        <w:rPr>
          <w:sz w:val="24"/>
          <w:szCs w:val="24"/>
          <w:lang w:val="ro-RO"/>
        </w:rPr>
        <w:t xml:space="preserve">Implementarea prezentului Program </w:t>
      </w:r>
      <w:r w:rsidRPr="00324E95">
        <w:rPr>
          <w:rFonts w:eastAsia="Calibri"/>
          <w:sz w:val="24"/>
          <w:szCs w:val="24"/>
          <w:lang w:val="ro-RO"/>
        </w:rPr>
        <w:t xml:space="preserve">de ordine și securitate publică </w:t>
      </w:r>
      <w:r w:rsidRPr="00324E95">
        <w:rPr>
          <w:sz w:val="24"/>
          <w:szCs w:val="24"/>
          <w:lang w:val="ro-RO"/>
        </w:rPr>
        <w:t xml:space="preserve">se va realiza în conformitate cu Planul de acțiuni privind implementarea acestuia </w:t>
      </w:r>
      <w:r w:rsidRPr="00324E95">
        <w:rPr>
          <w:rFonts w:eastAsia="Calibri"/>
          <w:sz w:val="24"/>
          <w:szCs w:val="24"/>
          <w:lang w:val="ro-RO"/>
        </w:rPr>
        <w:t>pentru anii 202</w:t>
      </w:r>
      <w:r w:rsidR="00324E95" w:rsidRPr="00324E95">
        <w:rPr>
          <w:rFonts w:eastAsia="Calibri"/>
          <w:sz w:val="24"/>
          <w:szCs w:val="24"/>
          <w:lang w:val="ro-RO"/>
        </w:rPr>
        <w:t>6</w:t>
      </w:r>
      <w:r w:rsidRPr="00324E95">
        <w:rPr>
          <w:rFonts w:eastAsia="Calibri"/>
          <w:sz w:val="24"/>
          <w:szCs w:val="24"/>
          <w:lang w:val="ro-RO"/>
        </w:rPr>
        <w:t>-20</w:t>
      </w:r>
      <w:r w:rsidR="00324E95" w:rsidRPr="00324E95">
        <w:rPr>
          <w:rFonts w:eastAsia="Calibri"/>
          <w:sz w:val="24"/>
          <w:szCs w:val="24"/>
          <w:lang w:val="ro-RO"/>
        </w:rPr>
        <w:t>30</w:t>
      </w:r>
      <w:r w:rsidRPr="00324E95">
        <w:rPr>
          <w:rFonts w:eastAsia="Calibri"/>
          <w:sz w:val="24"/>
          <w:szCs w:val="24"/>
          <w:lang w:val="ro-RO"/>
        </w:rPr>
        <w:t xml:space="preserve">, </w:t>
      </w:r>
      <w:r w:rsidRPr="00324E95">
        <w:rPr>
          <w:sz w:val="24"/>
          <w:szCs w:val="24"/>
          <w:lang w:val="ro-RO"/>
        </w:rPr>
        <w:t>în două etape:</w:t>
      </w:r>
    </w:p>
    <w:p w14:paraId="31399FB0" w14:textId="0F0EADAA" w:rsidR="00E62A7F" w:rsidRPr="00324E95" w:rsidRDefault="00E62A7F" w:rsidP="00E62A7F">
      <w:pPr>
        <w:tabs>
          <w:tab w:val="left" w:pos="851"/>
        </w:tabs>
        <w:spacing w:after="0"/>
        <w:ind w:firstLine="540"/>
        <w:jc w:val="both"/>
        <w:rPr>
          <w:sz w:val="24"/>
          <w:szCs w:val="24"/>
          <w:lang w:val="ro-RO"/>
        </w:rPr>
      </w:pPr>
      <w:r w:rsidRPr="00324E95">
        <w:rPr>
          <w:sz w:val="24"/>
          <w:szCs w:val="24"/>
          <w:lang w:val="ro-RO"/>
        </w:rPr>
        <w:t>1) etapa I – anii 202</w:t>
      </w:r>
      <w:r w:rsidR="00324E95" w:rsidRPr="00324E95">
        <w:rPr>
          <w:sz w:val="24"/>
          <w:szCs w:val="24"/>
          <w:lang w:val="ro-RO"/>
        </w:rPr>
        <w:t>6</w:t>
      </w:r>
      <w:r w:rsidRPr="00324E95">
        <w:rPr>
          <w:sz w:val="24"/>
          <w:szCs w:val="24"/>
          <w:lang w:val="ro-RO"/>
        </w:rPr>
        <w:t>-202</w:t>
      </w:r>
      <w:r w:rsidR="00324E95" w:rsidRPr="00324E95">
        <w:rPr>
          <w:sz w:val="24"/>
          <w:szCs w:val="24"/>
          <w:lang w:val="ro-RO"/>
        </w:rPr>
        <w:t>7</w:t>
      </w:r>
      <w:r w:rsidRPr="00324E95">
        <w:rPr>
          <w:sz w:val="24"/>
          <w:szCs w:val="24"/>
          <w:lang w:val="ro-RO"/>
        </w:rPr>
        <w:t>;</w:t>
      </w:r>
    </w:p>
    <w:p w14:paraId="0AAFE028" w14:textId="1F68C677" w:rsidR="00E62A7F" w:rsidRPr="00324E95" w:rsidRDefault="00E62A7F" w:rsidP="00E62A7F">
      <w:pPr>
        <w:tabs>
          <w:tab w:val="left" w:pos="851"/>
        </w:tabs>
        <w:spacing w:after="0"/>
        <w:ind w:firstLine="540"/>
        <w:jc w:val="both"/>
        <w:rPr>
          <w:sz w:val="24"/>
          <w:szCs w:val="24"/>
          <w:lang w:val="ro-RO"/>
        </w:rPr>
      </w:pPr>
      <w:r w:rsidRPr="00324E95">
        <w:rPr>
          <w:sz w:val="24"/>
          <w:szCs w:val="24"/>
          <w:lang w:val="ro-RO"/>
        </w:rPr>
        <w:t>2) etapa a II-a – anii 202</w:t>
      </w:r>
      <w:r w:rsidR="00324E95" w:rsidRPr="00324E95">
        <w:rPr>
          <w:sz w:val="24"/>
          <w:szCs w:val="24"/>
          <w:lang w:val="ro-RO"/>
        </w:rPr>
        <w:t>8</w:t>
      </w:r>
      <w:r w:rsidRPr="00324E95">
        <w:rPr>
          <w:sz w:val="24"/>
          <w:szCs w:val="24"/>
          <w:lang w:val="ro-RO"/>
        </w:rPr>
        <w:t>-20</w:t>
      </w:r>
      <w:r w:rsidR="00324E95" w:rsidRPr="00324E95">
        <w:rPr>
          <w:sz w:val="24"/>
          <w:szCs w:val="24"/>
          <w:lang w:val="ro-RO"/>
        </w:rPr>
        <w:t>30</w:t>
      </w:r>
      <w:r w:rsidRPr="00324E95">
        <w:rPr>
          <w:sz w:val="24"/>
          <w:szCs w:val="24"/>
          <w:lang w:val="ro-RO"/>
        </w:rPr>
        <w:t>.</w:t>
      </w:r>
    </w:p>
    <w:p w14:paraId="1837215F" w14:textId="77777777" w:rsidR="00E62A7F" w:rsidRPr="00324E95" w:rsidRDefault="00E62A7F" w:rsidP="00E62A7F">
      <w:pPr>
        <w:spacing w:after="0"/>
        <w:ind w:firstLine="540"/>
        <w:jc w:val="both"/>
        <w:rPr>
          <w:sz w:val="24"/>
          <w:szCs w:val="24"/>
          <w:lang w:val="ro-RO"/>
        </w:rPr>
      </w:pPr>
      <w:r w:rsidRPr="00324E95">
        <w:rPr>
          <w:sz w:val="24"/>
          <w:szCs w:val="24"/>
          <w:lang w:val="ro-RO"/>
        </w:rPr>
        <w:t xml:space="preserve">Procesul de monitorizare și raportare se va realiza pe parcursul perioadei de implementare a prezentului Program, în vederea stabilirii gradului de realizare a acțiunilor,  de conformitate a acțiunilor întreprinse cu cele planificate, a identificării cauzelor nerealizării în termen a acțiunilor planificate și a modificărilor pentru îmbunătățirea procesului de implementare. </w:t>
      </w:r>
    </w:p>
    <w:p w14:paraId="1607EDE4" w14:textId="77777777" w:rsidR="00E62A7F" w:rsidRPr="00324E95" w:rsidRDefault="00E62A7F" w:rsidP="00E62A7F">
      <w:pPr>
        <w:spacing w:after="0"/>
        <w:ind w:firstLine="540"/>
        <w:jc w:val="both"/>
        <w:rPr>
          <w:sz w:val="24"/>
          <w:szCs w:val="24"/>
          <w:lang w:val="ro-RO"/>
        </w:rPr>
      </w:pPr>
      <w:r w:rsidRPr="00324E95">
        <w:rPr>
          <w:sz w:val="24"/>
          <w:szCs w:val="24"/>
          <w:lang w:val="ro-RO"/>
        </w:rPr>
        <w:t xml:space="preserve">Rezultatele implementării vor fi incluse în raportul de progres, care se elaborează anual de către Ministerul Afacerilor Interne, în baza informațiilor prezentate de către autoritățile/instituțiile responsabile de implementare. </w:t>
      </w:r>
    </w:p>
    <w:p w14:paraId="493DF608" w14:textId="77777777" w:rsidR="00E62A7F" w:rsidRPr="00324E95" w:rsidRDefault="00E62A7F" w:rsidP="00E62A7F">
      <w:pPr>
        <w:spacing w:after="0"/>
        <w:ind w:firstLine="540"/>
        <w:jc w:val="both"/>
        <w:rPr>
          <w:sz w:val="24"/>
          <w:szCs w:val="24"/>
          <w:lang w:val="ro-RO"/>
        </w:rPr>
      </w:pPr>
      <w:r w:rsidRPr="00324E95">
        <w:rPr>
          <w:sz w:val="24"/>
          <w:szCs w:val="24"/>
          <w:lang w:val="ro-RO"/>
        </w:rPr>
        <w:t xml:space="preserve">În cazul acțiunilor cu mai mulți responsabili de implementare, rolul de coordonator/executor primar al implementării îi revine primei autorități/instituții indicate. Executorul primar va generaliza informațiile </w:t>
      </w:r>
      <w:r w:rsidRPr="00324E95">
        <w:rPr>
          <w:sz w:val="24"/>
          <w:szCs w:val="24"/>
          <w:lang w:val="ro-RO"/>
        </w:rPr>
        <w:lastRenderedPageBreak/>
        <w:t>executorilor secundari și o va prezenta în termenele stabilite Ministerului Afacerilor Interne. Rapoartele de progres trebuie să ofere inclusiv date cantitative cu privire la progresul realizării obiectivelor specifice și a indicatorilor de rezultat.</w:t>
      </w:r>
    </w:p>
    <w:p w14:paraId="69145F34" w14:textId="77777777" w:rsidR="00E62A7F" w:rsidRPr="00324E95" w:rsidRDefault="00E62A7F" w:rsidP="00E62A7F">
      <w:pPr>
        <w:spacing w:after="0"/>
        <w:ind w:firstLine="540"/>
        <w:jc w:val="both"/>
        <w:rPr>
          <w:sz w:val="24"/>
          <w:szCs w:val="24"/>
          <w:lang w:val="ro-RO"/>
        </w:rPr>
      </w:pPr>
      <w:r w:rsidRPr="00324E95">
        <w:rPr>
          <w:sz w:val="24"/>
          <w:szCs w:val="24"/>
          <w:lang w:val="ro-RO"/>
        </w:rPr>
        <w:t>Procesul de evaluare a implementării prezentului Program va fi desfășurat pentru formularea unei imagini obiective bazate pe relevanța, efectivitatea, eficiența, durabilitatea și impactul prezentului Program pe termen mediu. Activitățile de evaluare privind implementarea prezentului Program vor fi realizate după cum urmează:</w:t>
      </w:r>
    </w:p>
    <w:p w14:paraId="4D9546F9" w14:textId="42B98323" w:rsidR="00E62A7F" w:rsidRPr="00324E95" w:rsidRDefault="00E62A7F" w:rsidP="00E62A7F">
      <w:pPr>
        <w:tabs>
          <w:tab w:val="left" w:pos="709"/>
          <w:tab w:val="left" w:pos="851"/>
        </w:tabs>
        <w:spacing w:after="0"/>
        <w:ind w:firstLine="540"/>
        <w:jc w:val="both"/>
        <w:rPr>
          <w:sz w:val="24"/>
          <w:szCs w:val="24"/>
          <w:lang w:val="ro-RO"/>
        </w:rPr>
      </w:pPr>
      <w:r w:rsidRPr="00324E95">
        <w:rPr>
          <w:sz w:val="24"/>
          <w:szCs w:val="24"/>
          <w:lang w:val="ro-RO"/>
        </w:rPr>
        <w:t>1) raport de evaluare intermediară pentru 2 ani – după prima etapă de implementare;</w:t>
      </w:r>
    </w:p>
    <w:p w14:paraId="72D0ACAC" w14:textId="2D24C28D" w:rsidR="00E62A7F" w:rsidRPr="00324E95" w:rsidRDefault="00E62A7F" w:rsidP="00E62A7F">
      <w:pPr>
        <w:tabs>
          <w:tab w:val="left" w:pos="709"/>
          <w:tab w:val="left" w:pos="851"/>
        </w:tabs>
        <w:spacing w:after="0"/>
        <w:ind w:firstLine="540"/>
        <w:jc w:val="both"/>
        <w:rPr>
          <w:sz w:val="24"/>
          <w:szCs w:val="24"/>
          <w:lang w:val="ro-RO"/>
        </w:rPr>
      </w:pPr>
      <w:r w:rsidRPr="00324E95">
        <w:rPr>
          <w:sz w:val="24"/>
          <w:szCs w:val="24"/>
          <w:lang w:val="ro-RO"/>
        </w:rPr>
        <w:t xml:space="preserve">2) raport de evaluare finală pentru </w:t>
      </w:r>
      <w:r w:rsidR="00324E95" w:rsidRPr="00324E95">
        <w:rPr>
          <w:sz w:val="24"/>
          <w:szCs w:val="24"/>
          <w:lang w:val="ro-RO"/>
        </w:rPr>
        <w:t>5</w:t>
      </w:r>
      <w:r w:rsidRPr="00324E95">
        <w:rPr>
          <w:sz w:val="24"/>
          <w:szCs w:val="24"/>
          <w:lang w:val="ro-RO"/>
        </w:rPr>
        <w:t xml:space="preserve"> ani – după finalizarea perioadei de realizare a Programului.</w:t>
      </w:r>
    </w:p>
    <w:p w14:paraId="4A7D4A1B" w14:textId="77777777" w:rsidR="00E62A7F" w:rsidRPr="00324E95" w:rsidRDefault="00E62A7F" w:rsidP="00E62A7F">
      <w:pPr>
        <w:tabs>
          <w:tab w:val="left" w:pos="709"/>
        </w:tabs>
        <w:spacing w:after="0"/>
        <w:ind w:firstLine="540"/>
        <w:jc w:val="both"/>
        <w:rPr>
          <w:sz w:val="24"/>
          <w:szCs w:val="24"/>
          <w:lang w:val="ro-RO"/>
        </w:rPr>
      </w:pPr>
      <w:r w:rsidRPr="00324E95">
        <w:rPr>
          <w:sz w:val="24"/>
          <w:szCs w:val="24"/>
          <w:lang w:val="ro-RO"/>
        </w:rPr>
        <w:t>Rapoartele de evaluare vor conține:</w:t>
      </w:r>
    </w:p>
    <w:p w14:paraId="4390BEF5" w14:textId="77777777" w:rsidR="00E62A7F" w:rsidRPr="00324E95" w:rsidRDefault="00E62A7F" w:rsidP="00E62A7F">
      <w:pPr>
        <w:tabs>
          <w:tab w:val="left" w:pos="709"/>
        </w:tabs>
        <w:spacing w:after="0"/>
        <w:ind w:firstLine="540"/>
        <w:jc w:val="both"/>
        <w:rPr>
          <w:sz w:val="24"/>
          <w:szCs w:val="24"/>
          <w:lang w:val="ro-RO"/>
        </w:rPr>
      </w:pPr>
      <w:r w:rsidRPr="00324E95">
        <w:rPr>
          <w:sz w:val="24"/>
          <w:szCs w:val="24"/>
          <w:lang w:val="ro-RO"/>
        </w:rPr>
        <w:t>1) Sumarul executiv (descrierea scopului și obiectivelor prezentului Program, rezultatele obținute în procesul de implementare, concluziile și recomandările principale);</w:t>
      </w:r>
    </w:p>
    <w:p w14:paraId="22FA8BFB" w14:textId="77777777" w:rsidR="00E62A7F" w:rsidRPr="00324E95" w:rsidRDefault="00E62A7F" w:rsidP="00E62A7F">
      <w:pPr>
        <w:tabs>
          <w:tab w:val="left" w:pos="709"/>
        </w:tabs>
        <w:spacing w:after="0"/>
        <w:ind w:firstLine="540"/>
        <w:jc w:val="both"/>
        <w:rPr>
          <w:sz w:val="24"/>
          <w:szCs w:val="24"/>
          <w:lang w:val="ro-RO"/>
        </w:rPr>
      </w:pPr>
      <w:r w:rsidRPr="00324E95">
        <w:rPr>
          <w:sz w:val="24"/>
          <w:szCs w:val="24"/>
          <w:lang w:val="ro-RO"/>
        </w:rPr>
        <w:t>2) Introducere (descrierea succintă a prezentului Program, a scopului evaluării, a metodelor de evaluare și a constrângerilor în procesul de evaluare);</w:t>
      </w:r>
    </w:p>
    <w:p w14:paraId="00D8E0E6" w14:textId="77777777" w:rsidR="00E62A7F" w:rsidRPr="00324E95" w:rsidRDefault="00E62A7F" w:rsidP="00E62A7F">
      <w:pPr>
        <w:tabs>
          <w:tab w:val="left" w:pos="709"/>
        </w:tabs>
        <w:spacing w:after="0"/>
        <w:ind w:firstLine="540"/>
        <w:jc w:val="both"/>
        <w:rPr>
          <w:sz w:val="24"/>
          <w:szCs w:val="24"/>
          <w:lang w:val="ro-RO"/>
        </w:rPr>
      </w:pPr>
      <w:r w:rsidRPr="00324E95">
        <w:rPr>
          <w:sz w:val="24"/>
          <w:szCs w:val="24"/>
          <w:lang w:val="ro-RO"/>
        </w:rPr>
        <w:t>3) Constatări (prezentarea detaliată a rezultatelor evaluării în conformitate cu criteriile de relevanță, eficacitate, eficiență, durabilitate și, în cazul evaluării finale, impactul Programului);</w:t>
      </w:r>
    </w:p>
    <w:p w14:paraId="1B387A53" w14:textId="77777777" w:rsidR="00E62A7F" w:rsidRPr="00324E95" w:rsidRDefault="00E62A7F" w:rsidP="00E62A7F">
      <w:pPr>
        <w:tabs>
          <w:tab w:val="left" w:pos="709"/>
        </w:tabs>
        <w:spacing w:after="0"/>
        <w:ind w:firstLine="540"/>
        <w:jc w:val="both"/>
        <w:rPr>
          <w:sz w:val="24"/>
          <w:szCs w:val="24"/>
          <w:lang w:val="ro-RO"/>
        </w:rPr>
      </w:pPr>
      <w:r w:rsidRPr="00324E95">
        <w:rPr>
          <w:sz w:val="24"/>
          <w:szCs w:val="24"/>
          <w:lang w:val="ro-RO"/>
        </w:rPr>
        <w:t>4) Concluzii (descrierea succintă a concluziilor făcute în baza evaluării);</w:t>
      </w:r>
    </w:p>
    <w:p w14:paraId="60B9806B" w14:textId="77777777" w:rsidR="00E62A7F" w:rsidRPr="00324E95" w:rsidRDefault="00E62A7F" w:rsidP="00E62A7F">
      <w:pPr>
        <w:tabs>
          <w:tab w:val="left" w:pos="709"/>
        </w:tabs>
        <w:spacing w:after="0"/>
        <w:ind w:firstLine="540"/>
        <w:jc w:val="both"/>
        <w:rPr>
          <w:sz w:val="24"/>
          <w:szCs w:val="24"/>
          <w:lang w:val="ro-RO"/>
        </w:rPr>
      </w:pPr>
      <w:r w:rsidRPr="00324E95">
        <w:rPr>
          <w:sz w:val="24"/>
          <w:szCs w:val="24"/>
          <w:lang w:val="ro-RO"/>
        </w:rPr>
        <w:t>5) Recomandări (descrierea activităților recomandate pentru îmbunătățirea situației din domeniul sau subdomeniul inclus în prezentul Program și a documentului propriu-zis, în cazul evaluării intermediare).</w:t>
      </w:r>
    </w:p>
    <w:p w14:paraId="47806C0A" w14:textId="77777777" w:rsidR="00E62A7F" w:rsidRPr="00324E95" w:rsidRDefault="00E62A7F" w:rsidP="00E62A7F">
      <w:pPr>
        <w:spacing w:after="0"/>
        <w:ind w:firstLine="540"/>
        <w:jc w:val="both"/>
        <w:rPr>
          <w:sz w:val="24"/>
          <w:szCs w:val="24"/>
          <w:lang w:val="ro-RO"/>
        </w:rPr>
      </w:pPr>
      <w:r w:rsidRPr="00324E95">
        <w:rPr>
          <w:sz w:val="24"/>
          <w:szCs w:val="24"/>
          <w:lang w:val="ro-RO"/>
        </w:rPr>
        <w:t>Rapoartele de evaluare internă vor fi elaborate de Ministerul Afacerilor Interne, cu suportul autorităților/instituțiilor responsabile de implementarea prezentului Program.</w:t>
      </w:r>
    </w:p>
    <w:p w14:paraId="24BD91A7" w14:textId="77777777" w:rsidR="00E62A7F" w:rsidRPr="00324E95" w:rsidRDefault="00E62A7F" w:rsidP="00E62A7F">
      <w:pPr>
        <w:spacing w:after="0"/>
        <w:ind w:firstLine="540"/>
        <w:jc w:val="both"/>
        <w:rPr>
          <w:sz w:val="24"/>
          <w:szCs w:val="24"/>
          <w:lang w:val="ro-RO"/>
        </w:rPr>
      </w:pPr>
      <w:r w:rsidRPr="00324E95">
        <w:rPr>
          <w:sz w:val="24"/>
          <w:szCs w:val="24"/>
          <w:lang w:val="ro-RO"/>
        </w:rPr>
        <w:t>În cazul în care evaluarea intermediară atestă devieri de la activitățile planificate (acțiunile, indicatorii de rezultat și monitorizare), raportul evaluării intermediare poate constitui temei pentru inițierea procesului de modificare a Planului de acțiuni privind implementarea prezentului Program.</w:t>
      </w:r>
    </w:p>
    <w:p w14:paraId="17897B3A" w14:textId="77777777" w:rsidR="00E62A7F" w:rsidRPr="00324E95" w:rsidRDefault="00E62A7F" w:rsidP="00E62A7F">
      <w:pPr>
        <w:pStyle w:val="Normal2"/>
        <w:spacing w:before="0" w:beforeAutospacing="0" w:after="0" w:line="240" w:lineRule="auto"/>
        <w:ind w:firstLine="540"/>
        <w:jc w:val="both"/>
        <w:rPr>
          <w:rFonts w:ascii="Times New Roman" w:hAnsi="Times New Roman"/>
          <w:sz w:val="24"/>
          <w:szCs w:val="24"/>
          <w:lang w:val="ro-RO"/>
        </w:rPr>
      </w:pPr>
      <w:r w:rsidRPr="00324E95">
        <w:rPr>
          <w:rFonts w:ascii="Times New Roman" w:hAnsi="Times New Roman"/>
          <w:sz w:val="24"/>
          <w:szCs w:val="24"/>
          <w:lang w:val="ro-RO"/>
        </w:rPr>
        <w:t>Este salutabilă implicarea societății civile în aprecierea nivelului de atingere a obiectivelor documentului de politici. Rapoartele alternative reprezintă un indicator important în procesul evaluării impactului documentului de politici asupra populației și sursă de informații necesare orientării corecte a acțiunilor autorităților implementatoare.</w:t>
      </w:r>
    </w:p>
    <w:p w14:paraId="10492575" w14:textId="77777777" w:rsidR="00E62A7F" w:rsidRPr="00324E95" w:rsidRDefault="00E62A7F" w:rsidP="00E62A7F">
      <w:pPr>
        <w:pStyle w:val="Normal2"/>
        <w:spacing w:before="0" w:beforeAutospacing="0" w:after="0" w:line="240" w:lineRule="auto"/>
        <w:ind w:firstLine="540"/>
        <w:jc w:val="both"/>
        <w:rPr>
          <w:rFonts w:ascii="Times New Roman" w:hAnsi="Times New Roman"/>
          <w:sz w:val="24"/>
          <w:szCs w:val="24"/>
          <w:lang w:val="ro-RO"/>
        </w:rPr>
      </w:pPr>
      <w:r w:rsidRPr="00324E95">
        <w:rPr>
          <w:rFonts w:ascii="Times New Roman" w:hAnsi="Times New Roman"/>
          <w:sz w:val="24"/>
          <w:szCs w:val="24"/>
          <w:lang w:val="ro-RO"/>
        </w:rPr>
        <w:t>La sfârșitul fiecărei perioade de raportare și evaluare vor fi întreprinse măsurile de diminuare a riscurilor reflectate la compartimentul riscuri de implementare, precum și cele de remediere a deficiențelor apărute pe parcursul implementării obiectivelor/acțiunilor.</w:t>
      </w:r>
    </w:p>
    <w:p w14:paraId="612EB49F" w14:textId="73425CD7" w:rsidR="00E62A7F" w:rsidRDefault="00E62A7F" w:rsidP="00E62A7F">
      <w:pPr>
        <w:spacing w:after="0"/>
        <w:ind w:firstLine="540"/>
        <w:contextualSpacing/>
        <w:jc w:val="both"/>
        <w:rPr>
          <w:sz w:val="24"/>
          <w:szCs w:val="24"/>
          <w:lang w:val="ro-RO"/>
        </w:rPr>
      </w:pPr>
      <w:r w:rsidRPr="00324E95">
        <w:rPr>
          <w:sz w:val="24"/>
          <w:szCs w:val="24"/>
          <w:lang w:val="ro-RO"/>
        </w:rPr>
        <w:t>În scopul asigurării transparenței procesului de implementare a prezentului Program,</w:t>
      </w:r>
      <w:r w:rsidRPr="00324E95">
        <w:rPr>
          <w:i/>
          <w:sz w:val="24"/>
          <w:szCs w:val="24"/>
          <w:lang w:val="ro-RO"/>
        </w:rPr>
        <w:t xml:space="preserve"> </w:t>
      </w:r>
      <w:r w:rsidRPr="00324E95">
        <w:rPr>
          <w:sz w:val="24"/>
          <w:szCs w:val="24"/>
          <w:lang w:val="ro-RO"/>
        </w:rPr>
        <w:t xml:space="preserve">rapoartele </w:t>
      </w:r>
      <w:r w:rsidRPr="00F87F75">
        <w:rPr>
          <w:sz w:val="24"/>
          <w:szCs w:val="24"/>
          <w:lang w:val="ro-RO"/>
        </w:rPr>
        <w:t>anuale de</w:t>
      </w:r>
      <w:r w:rsidR="004A757F" w:rsidRPr="00F87F75">
        <w:rPr>
          <w:sz w:val="24"/>
          <w:szCs w:val="24"/>
          <w:lang w:val="ro-RO"/>
        </w:rPr>
        <w:t xml:space="preserve"> progres</w:t>
      </w:r>
      <w:r w:rsidRPr="00F87F75">
        <w:rPr>
          <w:sz w:val="24"/>
          <w:szCs w:val="24"/>
          <w:lang w:val="ro-RO"/>
        </w:rPr>
        <w:t>,</w:t>
      </w:r>
      <w:r w:rsidRPr="00324E95">
        <w:rPr>
          <w:sz w:val="24"/>
          <w:szCs w:val="24"/>
          <w:lang w:val="ro-RO"/>
        </w:rPr>
        <w:t xml:space="preserve"> precum și rapoartele intermediare și finale de evaluare vor fi publicate pe pagina web oficială a Ministerului Afacerilor Interne. Totodată, se va asigura mediatizarea progreselor pentru publicul larg, precum și diseminarea informațiilor relevante populației și partenerilor.</w:t>
      </w:r>
    </w:p>
    <w:p w14:paraId="404B0C49" w14:textId="77777777" w:rsidR="000E4CCC" w:rsidRDefault="000E4CCC" w:rsidP="00E62A7F">
      <w:pPr>
        <w:spacing w:after="0"/>
        <w:ind w:firstLine="540"/>
        <w:contextualSpacing/>
        <w:jc w:val="both"/>
        <w:rPr>
          <w:sz w:val="24"/>
          <w:szCs w:val="24"/>
          <w:lang w:val="ro-RO"/>
        </w:rPr>
      </w:pPr>
    </w:p>
    <w:p w14:paraId="4FEE1B54" w14:textId="720276F6" w:rsidR="000E4CCC" w:rsidRDefault="000E4CCC" w:rsidP="000E4CCC">
      <w:pPr>
        <w:spacing w:after="0"/>
        <w:ind w:firstLine="540"/>
        <w:contextualSpacing/>
        <w:jc w:val="center"/>
        <w:rPr>
          <w:b/>
          <w:bCs/>
          <w:sz w:val="24"/>
          <w:szCs w:val="24"/>
          <w:lang w:val="ro-RO"/>
        </w:rPr>
      </w:pPr>
      <w:r w:rsidRPr="000E4CCC">
        <w:rPr>
          <w:b/>
          <w:bCs/>
          <w:sz w:val="24"/>
          <w:szCs w:val="24"/>
          <w:lang w:val="ro-RO"/>
        </w:rPr>
        <w:t>LISTA ABREVIERILOR</w:t>
      </w:r>
    </w:p>
    <w:p w14:paraId="3DB99439" w14:textId="77777777" w:rsidR="000E4CCC" w:rsidRPr="000E4CCC" w:rsidRDefault="000E4CCC" w:rsidP="000E4CCC">
      <w:pPr>
        <w:spacing w:after="0"/>
        <w:ind w:firstLine="540"/>
        <w:contextualSpacing/>
        <w:jc w:val="both"/>
        <w:rPr>
          <w:sz w:val="24"/>
          <w:szCs w:val="24"/>
          <w:lang w:val="ro-RO"/>
        </w:rPr>
      </w:pPr>
    </w:p>
    <w:p w14:paraId="0A14DF3A" w14:textId="77777777" w:rsidR="00E62A7F" w:rsidRPr="00E62A7F" w:rsidRDefault="00E62A7F" w:rsidP="006A2852">
      <w:pPr>
        <w:tabs>
          <w:tab w:val="left" w:pos="993"/>
        </w:tabs>
        <w:spacing w:after="0"/>
        <w:ind w:firstLine="540"/>
        <w:jc w:val="both"/>
        <w:rPr>
          <w:rFonts w:eastAsia="Calibri"/>
          <w:color w:val="0070C0"/>
          <w:sz w:val="24"/>
          <w:szCs w:val="24"/>
          <w:lang w:val="ro-RO"/>
        </w:rPr>
      </w:pPr>
    </w:p>
    <w:p w14:paraId="6E8145C2" w14:textId="77777777" w:rsidR="0056553D" w:rsidRPr="000C6E07" w:rsidRDefault="0056553D">
      <w:pPr>
        <w:spacing w:line="259" w:lineRule="auto"/>
        <w:rPr>
          <w:rFonts w:eastAsiaTheme="majorEastAsia" w:cstheme="majorBidi"/>
          <w:sz w:val="24"/>
          <w:szCs w:val="24"/>
          <w:lang w:val="ro-RO"/>
        </w:rPr>
        <w:sectPr w:rsidR="0056553D" w:rsidRPr="000C6E07" w:rsidSect="0056553D">
          <w:footerReference w:type="default" r:id="rId30"/>
          <w:pgSz w:w="11906" w:h="16838"/>
          <w:pgMar w:top="567" w:right="851" w:bottom="567" w:left="851" w:header="709" w:footer="709" w:gutter="0"/>
          <w:cols w:space="708"/>
        </w:sectPr>
      </w:pPr>
    </w:p>
    <w:p w14:paraId="7B9A356A" w14:textId="77777777" w:rsidR="004356CF" w:rsidRPr="000C6E07" w:rsidRDefault="004356CF" w:rsidP="004356CF">
      <w:pPr>
        <w:pStyle w:val="1"/>
        <w:spacing w:before="0"/>
        <w:ind w:firstLine="540"/>
        <w:jc w:val="center"/>
        <w:rPr>
          <w:rFonts w:ascii="Times New Roman" w:hAnsi="Times New Roman"/>
          <w:b/>
          <w:color w:val="auto"/>
          <w:sz w:val="24"/>
          <w:szCs w:val="24"/>
          <w:lang w:val="ro-RO"/>
        </w:rPr>
      </w:pPr>
      <w:r w:rsidRPr="000C6E07">
        <w:rPr>
          <w:rFonts w:ascii="Times New Roman" w:hAnsi="Times New Roman"/>
          <w:b/>
          <w:color w:val="auto"/>
          <w:sz w:val="24"/>
          <w:szCs w:val="24"/>
          <w:lang w:val="ro-RO"/>
        </w:rPr>
        <w:lastRenderedPageBreak/>
        <w:t>PLANUL DE ACȚIUNI</w:t>
      </w:r>
    </w:p>
    <w:p w14:paraId="66002728" w14:textId="77777777" w:rsidR="004356CF" w:rsidRPr="000C6E07" w:rsidRDefault="004356CF" w:rsidP="004356CF">
      <w:pPr>
        <w:spacing w:after="0"/>
        <w:ind w:firstLine="540"/>
        <w:jc w:val="center"/>
        <w:rPr>
          <w:b/>
          <w:bCs/>
          <w:sz w:val="24"/>
          <w:szCs w:val="24"/>
          <w:lang w:val="ro-RO"/>
        </w:rPr>
      </w:pPr>
      <w:r w:rsidRPr="000C6E07">
        <w:rPr>
          <w:b/>
          <w:bCs/>
          <w:sz w:val="24"/>
          <w:szCs w:val="24"/>
          <w:lang w:val="ro-RO"/>
        </w:rPr>
        <w:t>privind implementarea Programului național de ordine</w:t>
      </w:r>
    </w:p>
    <w:p w14:paraId="2EEB08EB" w14:textId="77777777" w:rsidR="004356CF" w:rsidRPr="000C6E07" w:rsidRDefault="004356CF" w:rsidP="004356CF">
      <w:pPr>
        <w:ind w:firstLine="540"/>
        <w:jc w:val="center"/>
        <w:rPr>
          <w:b/>
          <w:bCs/>
          <w:sz w:val="24"/>
          <w:szCs w:val="24"/>
          <w:lang w:val="ro-RO"/>
        </w:rPr>
      </w:pPr>
      <w:r w:rsidRPr="000C6E07">
        <w:rPr>
          <w:b/>
          <w:bCs/>
          <w:sz w:val="24"/>
          <w:szCs w:val="24"/>
          <w:lang w:val="ro-RO"/>
        </w:rPr>
        <w:t xml:space="preserve"> și securitate publică pentru anii 2026-2030</w:t>
      </w:r>
    </w:p>
    <w:tbl>
      <w:tblPr>
        <w:tblW w:w="16317" w:type="dxa"/>
        <w:tblInd w:w="-289" w:type="dxa"/>
        <w:tblLayout w:type="fixed"/>
        <w:tblLook w:val="04A0" w:firstRow="1" w:lastRow="0" w:firstColumn="1" w:lastColumn="0" w:noHBand="0" w:noVBand="1"/>
      </w:tblPr>
      <w:tblGrid>
        <w:gridCol w:w="568"/>
        <w:gridCol w:w="1417"/>
        <w:gridCol w:w="1843"/>
        <w:gridCol w:w="1026"/>
        <w:gridCol w:w="1100"/>
        <w:gridCol w:w="1015"/>
        <w:gridCol w:w="922"/>
        <w:gridCol w:w="1182"/>
        <w:gridCol w:w="1000"/>
        <w:gridCol w:w="1000"/>
        <w:gridCol w:w="1000"/>
        <w:gridCol w:w="1000"/>
        <w:gridCol w:w="1000"/>
        <w:gridCol w:w="1082"/>
        <w:gridCol w:w="1162"/>
      </w:tblGrid>
      <w:tr w:rsidR="004356CF" w:rsidRPr="000C6E07" w14:paraId="60FDB7D4" w14:textId="77777777" w:rsidTr="00657BDD">
        <w:trPr>
          <w:trHeight w:val="280"/>
          <w:tblHeader/>
        </w:trPr>
        <w:tc>
          <w:tcPr>
            <w:tcW w:w="568" w:type="dxa"/>
            <w:vMerge w:val="restart"/>
            <w:tcBorders>
              <w:top w:val="single" w:sz="4" w:space="0" w:color="auto"/>
              <w:left w:val="single" w:sz="4" w:space="0" w:color="auto"/>
              <w:right w:val="single" w:sz="4" w:space="0" w:color="auto"/>
            </w:tcBorders>
            <w:vAlign w:val="center"/>
          </w:tcPr>
          <w:p w14:paraId="327FE831" w14:textId="51A7902A" w:rsidR="004356CF" w:rsidRPr="004356CF"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Nr. crt.</w:t>
            </w:r>
          </w:p>
        </w:tc>
        <w:tc>
          <w:tcPr>
            <w:tcW w:w="1417" w:type="dxa"/>
            <w:vMerge w:val="restart"/>
            <w:tcBorders>
              <w:top w:val="single" w:sz="4" w:space="0" w:color="auto"/>
              <w:left w:val="single" w:sz="4" w:space="0" w:color="auto"/>
              <w:right w:val="single" w:sz="4" w:space="0" w:color="auto"/>
            </w:tcBorders>
            <w:vAlign w:val="center"/>
          </w:tcPr>
          <w:p w14:paraId="2452886E" w14:textId="77777777" w:rsidR="004356CF" w:rsidRPr="000C6E07" w:rsidRDefault="004356CF" w:rsidP="00657BDD">
            <w:pPr>
              <w:pStyle w:val="Sergiu"/>
              <w:ind w:firstLine="0"/>
              <w:jc w:val="center"/>
              <w:rPr>
                <w:b/>
                <w:bCs/>
                <w:sz w:val="20"/>
                <w:szCs w:val="20"/>
                <w:lang w:val="ro-RO"/>
              </w:rPr>
            </w:pPr>
            <w:r w:rsidRPr="000C6E07">
              <w:rPr>
                <w:b/>
                <w:bCs/>
                <w:sz w:val="20"/>
                <w:szCs w:val="20"/>
                <w:lang w:val="ro-RO"/>
              </w:rPr>
              <w:t>Acțiuni unice identificabile</w:t>
            </w:r>
          </w:p>
          <w:p w14:paraId="6FFB7D3C"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843" w:type="dxa"/>
            <w:vMerge w:val="restart"/>
            <w:tcBorders>
              <w:top w:val="single" w:sz="4" w:space="0" w:color="auto"/>
              <w:left w:val="nil"/>
              <w:right w:val="single" w:sz="4" w:space="0" w:color="auto"/>
            </w:tcBorders>
            <w:vAlign w:val="center"/>
          </w:tcPr>
          <w:p w14:paraId="1E00540B" w14:textId="0D48B064"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Indicatori de monitorizare</w:t>
            </w:r>
          </w:p>
        </w:tc>
        <w:tc>
          <w:tcPr>
            <w:tcW w:w="1026" w:type="dxa"/>
            <w:vMerge w:val="restart"/>
            <w:tcBorders>
              <w:top w:val="single" w:sz="4" w:space="0" w:color="auto"/>
              <w:left w:val="nil"/>
              <w:right w:val="single" w:sz="4" w:space="0" w:color="auto"/>
            </w:tcBorders>
            <w:vAlign w:val="center"/>
          </w:tcPr>
          <w:p w14:paraId="38A3AA4B" w14:textId="637C3BCD" w:rsidR="004356CF" w:rsidRPr="000C6E07" w:rsidRDefault="004356CF" w:rsidP="00657BDD">
            <w:pPr>
              <w:pStyle w:val="Sergiu"/>
              <w:ind w:firstLine="0"/>
              <w:jc w:val="center"/>
              <w:rPr>
                <w:b/>
                <w:bCs/>
                <w:sz w:val="20"/>
                <w:szCs w:val="20"/>
                <w:lang w:val="ro-RO"/>
              </w:rPr>
            </w:pPr>
            <w:r w:rsidRPr="000C6E07">
              <w:rPr>
                <w:b/>
                <w:bCs/>
                <w:sz w:val="20"/>
                <w:szCs w:val="20"/>
                <w:lang w:val="ro-RO"/>
              </w:rPr>
              <w:t>Costul total</w:t>
            </w:r>
          </w:p>
          <w:p w14:paraId="0DA4FD8B" w14:textId="79C8E166"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b/>
                <w:bCs/>
                <w:sz w:val="20"/>
                <w:szCs w:val="20"/>
                <w:lang w:val="ro-RO"/>
              </w:rPr>
              <w:t>(mii lei)</w:t>
            </w:r>
          </w:p>
        </w:tc>
        <w:tc>
          <w:tcPr>
            <w:tcW w:w="3037" w:type="dxa"/>
            <w:gridSpan w:val="3"/>
            <w:tcBorders>
              <w:top w:val="single" w:sz="4" w:space="0" w:color="auto"/>
              <w:left w:val="nil"/>
              <w:bottom w:val="single" w:sz="4" w:space="0" w:color="auto"/>
              <w:right w:val="single" w:sz="4" w:space="0" w:color="auto"/>
            </w:tcBorders>
            <w:vAlign w:val="center"/>
          </w:tcPr>
          <w:p w14:paraId="21BD2DC0" w14:textId="52970835"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b/>
                <w:bCs/>
                <w:sz w:val="20"/>
                <w:szCs w:val="20"/>
                <w:lang w:val="ro-RO"/>
              </w:rPr>
              <w:t>Sursa de finanțare (mii lei)</w:t>
            </w:r>
          </w:p>
        </w:tc>
        <w:tc>
          <w:tcPr>
            <w:tcW w:w="1182" w:type="dxa"/>
            <w:vMerge w:val="restart"/>
            <w:tcBorders>
              <w:top w:val="single" w:sz="4" w:space="0" w:color="auto"/>
              <w:left w:val="nil"/>
              <w:right w:val="single" w:sz="4" w:space="0" w:color="auto"/>
            </w:tcBorders>
            <w:shd w:val="clear" w:color="000000" w:fill="FFFFFF"/>
            <w:vAlign w:val="center"/>
          </w:tcPr>
          <w:p w14:paraId="6A9C582E" w14:textId="77777777" w:rsidR="004356CF" w:rsidRPr="00832FB2" w:rsidRDefault="004356CF" w:rsidP="00657BDD">
            <w:pPr>
              <w:pStyle w:val="Sergiu"/>
              <w:ind w:firstLine="0"/>
              <w:jc w:val="center"/>
              <w:rPr>
                <w:b/>
                <w:bCs/>
                <w:sz w:val="20"/>
                <w:szCs w:val="20"/>
                <w:lang w:val="ro-RO"/>
              </w:rPr>
            </w:pPr>
            <w:r w:rsidRPr="00832FB2">
              <w:rPr>
                <w:b/>
                <w:bCs/>
                <w:sz w:val="20"/>
                <w:szCs w:val="20"/>
                <w:lang w:val="ro-RO"/>
              </w:rPr>
              <w:t>Cod program/</w:t>
            </w:r>
          </w:p>
          <w:p w14:paraId="0AEFCE4E" w14:textId="77777777" w:rsidR="004356CF" w:rsidRPr="00832FB2" w:rsidRDefault="004356CF" w:rsidP="00657BDD">
            <w:pPr>
              <w:pStyle w:val="Sergiu"/>
              <w:ind w:firstLine="0"/>
              <w:jc w:val="center"/>
              <w:rPr>
                <w:b/>
                <w:bCs/>
                <w:sz w:val="20"/>
                <w:szCs w:val="20"/>
                <w:lang w:val="ro-RO"/>
              </w:rPr>
            </w:pPr>
            <w:r w:rsidRPr="00832FB2">
              <w:rPr>
                <w:b/>
                <w:bCs/>
                <w:sz w:val="20"/>
                <w:szCs w:val="20"/>
                <w:lang w:val="ro-RO"/>
              </w:rPr>
              <w:t>Subprogram bugetar;</w:t>
            </w:r>
          </w:p>
          <w:p w14:paraId="7190DF69" w14:textId="2CCA47E6" w:rsidR="004356CF" w:rsidRPr="000C6E07" w:rsidRDefault="004356CF" w:rsidP="00657BDD">
            <w:pPr>
              <w:spacing w:after="0"/>
              <w:jc w:val="center"/>
              <w:rPr>
                <w:rFonts w:eastAsia="Times New Roman" w:cs="Times New Roman"/>
                <w:color w:val="000000"/>
                <w:sz w:val="20"/>
                <w:szCs w:val="20"/>
                <w:lang w:val="ro-RO"/>
                <w14:ligatures w14:val="none"/>
              </w:rPr>
            </w:pPr>
            <w:r w:rsidRPr="00832FB2">
              <w:rPr>
                <w:b/>
                <w:bCs/>
                <w:sz w:val="20"/>
                <w:szCs w:val="20"/>
                <w:lang w:val="ro-RO"/>
              </w:rPr>
              <w:t>Sursa de finanțare externă</w:t>
            </w:r>
          </w:p>
        </w:tc>
        <w:tc>
          <w:tcPr>
            <w:tcW w:w="5000" w:type="dxa"/>
            <w:gridSpan w:val="5"/>
            <w:tcBorders>
              <w:top w:val="single" w:sz="4" w:space="0" w:color="auto"/>
              <w:left w:val="nil"/>
              <w:bottom w:val="single" w:sz="4" w:space="0" w:color="auto"/>
              <w:right w:val="single" w:sz="4" w:space="0" w:color="auto"/>
            </w:tcBorders>
            <w:vAlign w:val="center"/>
          </w:tcPr>
          <w:p w14:paraId="4523CCB7" w14:textId="7FBA19D0" w:rsidR="004356CF" w:rsidRPr="00832FB2" w:rsidRDefault="00F90609" w:rsidP="00657BDD">
            <w:pPr>
              <w:spacing w:after="0"/>
              <w:jc w:val="center"/>
              <w:rPr>
                <w:rFonts w:eastAsia="Times New Roman" w:cs="Times New Roman"/>
                <w:i/>
                <w:iCs/>
                <w:sz w:val="20"/>
                <w:szCs w:val="20"/>
                <w:lang w:val="ro-RO"/>
                <w14:ligatures w14:val="none"/>
              </w:rPr>
            </w:pPr>
            <w:r w:rsidRPr="00832FB2">
              <w:rPr>
                <w:rFonts w:cs="Times New Roman"/>
                <w:b/>
                <w:bCs/>
                <w:sz w:val="20"/>
                <w:szCs w:val="20"/>
                <w:lang w:val="ro-RO"/>
              </w:rPr>
              <w:t>Costuri acoperite din bugetul de stat și asistență externă (mii lei)</w:t>
            </w:r>
          </w:p>
        </w:tc>
        <w:tc>
          <w:tcPr>
            <w:tcW w:w="1082" w:type="dxa"/>
            <w:vMerge w:val="restart"/>
            <w:tcBorders>
              <w:top w:val="single" w:sz="4" w:space="0" w:color="auto"/>
              <w:left w:val="nil"/>
              <w:right w:val="single" w:sz="4" w:space="0" w:color="auto"/>
            </w:tcBorders>
            <w:vAlign w:val="center"/>
          </w:tcPr>
          <w:p w14:paraId="097159B5" w14:textId="500752FB"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Termene de realizare (trimestru/an)</w:t>
            </w:r>
          </w:p>
        </w:tc>
        <w:tc>
          <w:tcPr>
            <w:tcW w:w="1162" w:type="dxa"/>
            <w:vMerge w:val="restart"/>
            <w:tcBorders>
              <w:top w:val="single" w:sz="4" w:space="0" w:color="auto"/>
              <w:left w:val="nil"/>
              <w:right w:val="single" w:sz="4" w:space="0" w:color="auto"/>
            </w:tcBorders>
            <w:vAlign w:val="center"/>
          </w:tcPr>
          <w:p w14:paraId="5C8B2455" w14:textId="705D9B52"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b/>
                <w:bCs/>
                <w:sz w:val="20"/>
                <w:szCs w:val="20"/>
                <w:lang w:val="ro-RO"/>
              </w:rPr>
              <w:t>Instituție responsabilă</w:t>
            </w:r>
            <w:r w:rsidR="004A757F">
              <w:rPr>
                <w:b/>
                <w:bCs/>
                <w:sz w:val="20"/>
                <w:szCs w:val="20"/>
                <w:lang w:val="ro-RO"/>
              </w:rPr>
              <w:t xml:space="preserve"> </w:t>
            </w:r>
            <w:r w:rsidR="004A757F" w:rsidRPr="00D87D85">
              <w:rPr>
                <w:b/>
                <w:bCs/>
                <w:sz w:val="20"/>
                <w:szCs w:val="20"/>
                <w:lang w:val="ro-RO"/>
              </w:rPr>
              <w:t>/parteneri</w:t>
            </w:r>
          </w:p>
        </w:tc>
      </w:tr>
      <w:tr w:rsidR="004356CF" w:rsidRPr="000C6E07" w14:paraId="14F36484" w14:textId="77777777" w:rsidTr="00657BDD">
        <w:trPr>
          <w:trHeight w:val="271"/>
          <w:tblHeader/>
        </w:trPr>
        <w:tc>
          <w:tcPr>
            <w:tcW w:w="568" w:type="dxa"/>
            <w:vMerge/>
            <w:tcBorders>
              <w:left w:val="single" w:sz="4" w:space="0" w:color="auto"/>
              <w:bottom w:val="single" w:sz="4" w:space="0" w:color="000000"/>
              <w:right w:val="single" w:sz="4" w:space="0" w:color="auto"/>
            </w:tcBorders>
            <w:vAlign w:val="center"/>
          </w:tcPr>
          <w:p w14:paraId="20B7F5D6" w14:textId="77777777" w:rsidR="004356CF" w:rsidRPr="004356CF" w:rsidRDefault="004356CF" w:rsidP="00657BDD">
            <w:pPr>
              <w:spacing w:after="0"/>
              <w:ind w:left="104"/>
              <w:jc w:val="center"/>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tcPr>
          <w:p w14:paraId="4C5EC8C4"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6B48DF9E"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tcPr>
          <w:p w14:paraId="65B79720" w14:textId="77777777" w:rsidR="004356CF" w:rsidRPr="000C6E07" w:rsidRDefault="004356CF" w:rsidP="00657BDD">
            <w:pPr>
              <w:spacing w:after="0"/>
              <w:jc w:val="center"/>
              <w:rPr>
                <w:rFonts w:eastAsia="Times New Roman" w:cs="Times New Roman"/>
                <w:color w:val="0070C0"/>
                <w:sz w:val="20"/>
                <w:szCs w:val="20"/>
                <w:lang w:val="ro-RO"/>
                <w14:ligatures w14:val="none"/>
              </w:rPr>
            </w:pPr>
          </w:p>
        </w:tc>
        <w:tc>
          <w:tcPr>
            <w:tcW w:w="1100" w:type="dxa"/>
            <w:tcBorders>
              <w:top w:val="single" w:sz="4" w:space="0" w:color="auto"/>
              <w:left w:val="nil"/>
              <w:bottom w:val="single" w:sz="4" w:space="0" w:color="auto"/>
              <w:right w:val="single" w:sz="4" w:space="0" w:color="auto"/>
            </w:tcBorders>
            <w:vAlign w:val="center"/>
          </w:tcPr>
          <w:p w14:paraId="4F2D81AA" w14:textId="61ECE211"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Buget stat</w:t>
            </w:r>
          </w:p>
        </w:tc>
        <w:tc>
          <w:tcPr>
            <w:tcW w:w="1015" w:type="dxa"/>
            <w:tcBorders>
              <w:top w:val="single" w:sz="4" w:space="0" w:color="auto"/>
              <w:left w:val="nil"/>
              <w:bottom w:val="single" w:sz="4" w:space="0" w:color="auto"/>
              <w:right w:val="single" w:sz="4" w:space="0" w:color="auto"/>
            </w:tcBorders>
            <w:vAlign w:val="center"/>
          </w:tcPr>
          <w:p w14:paraId="1FD424D6" w14:textId="57A99A04"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Asistență externă</w:t>
            </w:r>
          </w:p>
        </w:tc>
        <w:tc>
          <w:tcPr>
            <w:tcW w:w="922" w:type="dxa"/>
            <w:tcBorders>
              <w:top w:val="single" w:sz="4" w:space="0" w:color="auto"/>
              <w:left w:val="nil"/>
              <w:bottom w:val="single" w:sz="4" w:space="0" w:color="auto"/>
              <w:right w:val="single" w:sz="4" w:space="0" w:color="auto"/>
            </w:tcBorders>
            <w:vAlign w:val="center"/>
          </w:tcPr>
          <w:p w14:paraId="2895E38F" w14:textId="03ED5152" w:rsidR="004356CF" w:rsidRPr="000C6E07" w:rsidRDefault="004356CF" w:rsidP="00657BDD">
            <w:pPr>
              <w:spacing w:after="0"/>
              <w:jc w:val="center"/>
              <w:rPr>
                <w:rFonts w:eastAsia="Times New Roman" w:cs="Times New Roman"/>
                <w:i/>
                <w:iCs/>
                <w:color w:val="FF0000"/>
                <w:sz w:val="20"/>
                <w:szCs w:val="20"/>
                <w:lang w:val="ro-RO"/>
                <w14:ligatures w14:val="none"/>
              </w:rPr>
            </w:pPr>
            <w:r w:rsidRPr="00832FB2">
              <w:rPr>
                <w:rFonts w:cs="Times New Roman"/>
                <w:b/>
                <w:bCs/>
                <w:sz w:val="20"/>
                <w:szCs w:val="20"/>
                <w:lang w:val="ro-RO"/>
              </w:rPr>
              <w:t xml:space="preserve">Costuri neacoperite </w:t>
            </w:r>
            <w:r w:rsidR="00F90609" w:rsidRPr="00832FB2">
              <w:rPr>
                <w:rFonts w:cs="Times New Roman"/>
                <w:b/>
                <w:bCs/>
                <w:sz w:val="20"/>
                <w:szCs w:val="20"/>
                <w:lang w:val="ro-RO"/>
              </w:rPr>
              <w:t>(pe ani)</w:t>
            </w:r>
          </w:p>
        </w:tc>
        <w:tc>
          <w:tcPr>
            <w:tcW w:w="1182" w:type="dxa"/>
            <w:vMerge/>
            <w:tcBorders>
              <w:left w:val="nil"/>
              <w:bottom w:val="single" w:sz="4" w:space="0" w:color="auto"/>
              <w:right w:val="single" w:sz="4" w:space="0" w:color="auto"/>
            </w:tcBorders>
            <w:shd w:val="clear" w:color="000000" w:fill="FFFFFF"/>
            <w:vAlign w:val="center"/>
          </w:tcPr>
          <w:p w14:paraId="1947B92C" w14:textId="47A6F1F0"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000" w:type="dxa"/>
            <w:tcBorders>
              <w:top w:val="single" w:sz="4" w:space="0" w:color="auto"/>
              <w:left w:val="nil"/>
              <w:bottom w:val="single" w:sz="4" w:space="0" w:color="auto"/>
              <w:right w:val="single" w:sz="4" w:space="0" w:color="auto"/>
            </w:tcBorders>
            <w:vAlign w:val="center"/>
          </w:tcPr>
          <w:p w14:paraId="6F9786C0" w14:textId="548E9180"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2026</w:t>
            </w:r>
          </w:p>
        </w:tc>
        <w:tc>
          <w:tcPr>
            <w:tcW w:w="1000" w:type="dxa"/>
            <w:tcBorders>
              <w:top w:val="single" w:sz="4" w:space="0" w:color="auto"/>
              <w:left w:val="nil"/>
              <w:bottom w:val="single" w:sz="4" w:space="0" w:color="auto"/>
              <w:right w:val="single" w:sz="4" w:space="0" w:color="auto"/>
            </w:tcBorders>
            <w:vAlign w:val="center"/>
          </w:tcPr>
          <w:p w14:paraId="231975AE" w14:textId="7C70CBAA"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2027</w:t>
            </w:r>
          </w:p>
        </w:tc>
        <w:tc>
          <w:tcPr>
            <w:tcW w:w="1000" w:type="dxa"/>
            <w:tcBorders>
              <w:top w:val="single" w:sz="4" w:space="0" w:color="auto"/>
              <w:left w:val="nil"/>
              <w:bottom w:val="single" w:sz="4" w:space="0" w:color="auto"/>
              <w:right w:val="single" w:sz="4" w:space="0" w:color="auto"/>
            </w:tcBorders>
            <w:vAlign w:val="center"/>
          </w:tcPr>
          <w:p w14:paraId="22C4467D" w14:textId="0E4235BE"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2028</w:t>
            </w:r>
          </w:p>
        </w:tc>
        <w:tc>
          <w:tcPr>
            <w:tcW w:w="1000" w:type="dxa"/>
            <w:tcBorders>
              <w:top w:val="single" w:sz="4" w:space="0" w:color="auto"/>
              <w:left w:val="nil"/>
              <w:bottom w:val="single" w:sz="4" w:space="0" w:color="auto"/>
              <w:right w:val="single" w:sz="4" w:space="0" w:color="auto"/>
            </w:tcBorders>
            <w:vAlign w:val="center"/>
          </w:tcPr>
          <w:p w14:paraId="5ED0FEAD" w14:textId="1D146C9A" w:rsidR="004356CF" w:rsidRPr="00832FB2" w:rsidRDefault="004356CF" w:rsidP="00657BDD">
            <w:pPr>
              <w:spacing w:after="0"/>
              <w:jc w:val="center"/>
              <w:rPr>
                <w:rFonts w:eastAsia="Times New Roman" w:cs="Times New Roman"/>
                <w:i/>
                <w:iCs/>
                <w:sz w:val="20"/>
                <w:szCs w:val="20"/>
                <w:lang w:val="ro-RO"/>
                <w14:ligatures w14:val="none"/>
              </w:rPr>
            </w:pPr>
            <w:r w:rsidRPr="00832FB2">
              <w:rPr>
                <w:rFonts w:cs="Times New Roman"/>
                <w:b/>
                <w:bCs/>
                <w:sz w:val="20"/>
                <w:szCs w:val="20"/>
                <w:lang w:val="ro-RO"/>
              </w:rPr>
              <w:t>2029</w:t>
            </w:r>
          </w:p>
        </w:tc>
        <w:tc>
          <w:tcPr>
            <w:tcW w:w="1000" w:type="dxa"/>
            <w:tcBorders>
              <w:top w:val="single" w:sz="4" w:space="0" w:color="auto"/>
              <w:left w:val="nil"/>
              <w:bottom w:val="single" w:sz="4" w:space="0" w:color="auto"/>
              <w:right w:val="single" w:sz="4" w:space="0" w:color="auto"/>
            </w:tcBorders>
            <w:vAlign w:val="center"/>
          </w:tcPr>
          <w:p w14:paraId="12C727D0" w14:textId="33971ABA"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2030</w:t>
            </w:r>
          </w:p>
        </w:tc>
        <w:tc>
          <w:tcPr>
            <w:tcW w:w="1082" w:type="dxa"/>
            <w:vMerge/>
            <w:tcBorders>
              <w:left w:val="nil"/>
              <w:bottom w:val="single" w:sz="4" w:space="0" w:color="auto"/>
              <w:right w:val="single" w:sz="4" w:space="0" w:color="auto"/>
            </w:tcBorders>
            <w:vAlign w:val="center"/>
          </w:tcPr>
          <w:p w14:paraId="7D4F1ECA"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c>
          <w:tcPr>
            <w:tcW w:w="1162" w:type="dxa"/>
            <w:vMerge/>
            <w:tcBorders>
              <w:left w:val="nil"/>
              <w:bottom w:val="single" w:sz="4" w:space="0" w:color="auto"/>
              <w:right w:val="single" w:sz="4" w:space="0" w:color="auto"/>
            </w:tcBorders>
            <w:vAlign w:val="center"/>
          </w:tcPr>
          <w:p w14:paraId="5F5D2F7B" w14:textId="77777777" w:rsidR="004356CF" w:rsidRPr="000C6E07" w:rsidRDefault="004356CF" w:rsidP="00657BDD">
            <w:pPr>
              <w:spacing w:after="0"/>
              <w:jc w:val="center"/>
              <w:rPr>
                <w:rFonts w:eastAsia="Times New Roman" w:cs="Times New Roman"/>
                <w:color w:val="000000"/>
                <w:sz w:val="20"/>
                <w:szCs w:val="20"/>
                <w:lang w:val="ro-RO"/>
                <w14:ligatures w14:val="none"/>
              </w:rPr>
            </w:pPr>
          </w:p>
        </w:tc>
      </w:tr>
      <w:tr w:rsidR="004356CF" w:rsidRPr="000C6E07" w14:paraId="56822B16" w14:textId="77777777" w:rsidTr="00657BDD">
        <w:trPr>
          <w:trHeight w:val="347"/>
          <w:tblHeader/>
        </w:trPr>
        <w:tc>
          <w:tcPr>
            <w:tcW w:w="568" w:type="dxa"/>
            <w:tcBorders>
              <w:top w:val="single" w:sz="4" w:space="0" w:color="auto"/>
              <w:left w:val="single" w:sz="4" w:space="0" w:color="auto"/>
              <w:bottom w:val="single" w:sz="4" w:space="0" w:color="000000"/>
              <w:right w:val="single" w:sz="4" w:space="0" w:color="auto"/>
            </w:tcBorders>
            <w:vAlign w:val="center"/>
          </w:tcPr>
          <w:p w14:paraId="00822FE3" w14:textId="7A899B9A" w:rsidR="004356CF" w:rsidRPr="004356CF" w:rsidRDefault="004356CF" w:rsidP="00657BDD">
            <w:pPr>
              <w:spacing w:after="0"/>
              <w:ind w:left="104"/>
              <w:jc w:val="center"/>
              <w:rPr>
                <w:rFonts w:eastAsia="Times New Roman" w:cs="Times New Roman"/>
                <w:color w:val="000000"/>
                <w:sz w:val="20"/>
                <w:szCs w:val="20"/>
                <w:lang w:val="ro-RO"/>
                <w14:ligatures w14:val="none"/>
              </w:rPr>
            </w:pPr>
            <w:r w:rsidRPr="000C6E07">
              <w:rPr>
                <w:rFonts w:cs="Times New Roman"/>
                <w:b/>
                <w:bCs/>
                <w:sz w:val="20"/>
                <w:szCs w:val="20"/>
                <w:lang w:val="ro-RO"/>
              </w:rPr>
              <w:t>1</w:t>
            </w:r>
          </w:p>
        </w:tc>
        <w:tc>
          <w:tcPr>
            <w:tcW w:w="1417" w:type="dxa"/>
            <w:tcBorders>
              <w:top w:val="single" w:sz="4" w:space="0" w:color="auto"/>
              <w:left w:val="single" w:sz="4" w:space="0" w:color="auto"/>
              <w:bottom w:val="single" w:sz="4" w:space="0" w:color="auto"/>
              <w:right w:val="single" w:sz="4" w:space="0" w:color="auto"/>
            </w:tcBorders>
            <w:vAlign w:val="center"/>
          </w:tcPr>
          <w:p w14:paraId="1D73D236" w14:textId="0C236BB1"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2</w:t>
            </w:r>
          </w:p>
        </w:tc>
        <w:tc>
          <w:tcPr>
            <w:tcW w:w="1843" w:type="dxa"/>
            <w:tcBorders>
              <w:top w:val="single" w:sz="4" w:space="0" w:color="auto"/>
              <w:left w:val="nil"/>
              <w:bottom w:val="single" w:sz="4" w:space="0" w:color="auto"/>
              <w:right w:val="single" w:sz="4" w:space="0" w:color="auto"/>
            </w:tcBorders>
            <w:vAlign w:val="center"/>
          </w:tcPr>
          <w:p w14:paraId="7F5424AD" w14:textId="45E72BCF"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3</w:t>
            </w:r>
          </w:p>
        </w:tc>
        <w:tc>
          <w:tcPr>
            <w:tcW w:w="1026" w:type="dxa"/>
            <w:tcBorders>
              <w:top w:val="single" w:sz="4" w:space="0" w:color="auto"/>
              <w:left w:val="nil"/>
              <w:bottom w:val="single" w:sz="4" w:space="0" w:color="auto"/>
              <w:right w:val="single" w:sz="4" w:space="0" w:color="auto"/>
            </w:tcBorders>
            <w:vAlign w:val="center"/>
          </w:tcPr>
          <w:p w14:paraId="5A0FFBFE" w14:textId="50887B1E"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4</w:t>
            </w:r>
          </w:p>
        </w:tc>
        <w:tc>
          <w:tcPr>
            <w:tcW w:w="1100" w:type="dxa"/>
            <w:tcBorders>
              <w:top w:val="single" w:sz="4" w:space="0" w:color="auto"/>
              <w:left w:val="nil"/>
              <w:bottom w:val="single" w:sz="4" w:space="0" w:color="auto"/>
              <w:right w:val="single" w:sz="4" w:space="0" w:color="auto"/>
            </w:tcBorders>
            <w:vAlign w:val="center"/>
          </w:tcPr>
          <w:p w14:paraId="32431A2A" w14:textId="1EE7FC5A"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5</w:t>
            </w:r>
          </w:p>
        </w:tc>
        <w:tc>
          <w:tcPr>
            <w:tcW w:w="1015" w:type="dxa"/>
            <w:tcBorders>
              <w:top w:val="single" w:sz="4" w:space="0" w:color="auto"/>
              <w:left w:val="nil"/>
              <w:bottom w:val="single" w:sz="4" w:space="0" w:color="auto"/>
              <w:right w:val="single" w:sz="4" w:space="0" w:color="auto"/>
            </w:tcBorders>
            <w:vAlign w:val="center"/>
          </w:tcPr>
          <w:p w14:paraId="534F7D65" w14:textId="44C8C2FD"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6</w:t>
            </w:r>
          </w:p>
        </w:tc>
        <w:tc>
          <w:tcPr>
            <w:tcW w:w="922" w:type="dxa"/>
            <w:tcBorders>
              <w:top w:val="single" w:sz="4" w:space="0" w:color="auto"/>
              <w:left w:val="nil"/>
              <w:bottom w:val="single" w:sz="4" w:space="0" w:color="auto"/>
              <w:right w:val="single" w:sz="4" w:space="0" w:color="auto"/>
            </w:tcBorders>
            <w:vAlign w:val="center"/>
          </w:tcPr>
          <w:p w14:paraId="2B8A781D" w14:textId="64ED49E3"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7</w:t>
            </w:r>
          </w:p>
        </w:tc>
        <w:tc>
          <w:tcPr>
            <w:tcW w:w="1182" w:type="dxa"/>
            <w:tcBorders>
              <w:top w:val="single" w:sz="4" w:space="0" w:color="auto"/>
              <w:left w:val="nil"/>
              <w:bottom w:val="single" w:sz="4" w:space="0" w:color="auto"/>
              <w:right w:val="single" w:sz="4" w:space="0" w:color="auto"/>
            </w:tcBorders>
            <w:shd w:val="clear" w:color="000000" w:fill="FFFFFF"/>
            <w:vAlign w:val="center"/>
          </w:tcPr>
          <w:p w14:paraId="7A2EC401" w14:textId="7E386B78"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8</w:t>
            </w:r>
          </w:p>
        </w:tc>
        <w:tc>
          <w:tcPr>
            <w:tcW w:w="1000" w:type="dxa"/>
            <w:tcBorders>
              <w:top w:val="single" w:sz="4" w:space="0" w:color="auto"/>
              <w:left w:val="nil"/>
              <w:bottom w:val="single" w:sz="4" w:space="0" w:color="auto"/>
              <w:right w:val="single" w:sz="4" w:space="0" w:color="auto"/>
            </w:tcBorders>
            <w:vAlign w:val="center"/>
          </w:tcPr>
          <w:p w14:paraId="6F224189" w14:textId="557FCAE9"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9</w:t>
            </w:r>
          </w:p>
        </w:tc>
        <w:tc>
          <w:tcPr>
            <w:tcW w:w="1000" w:type="dxa"/>
            <w:tcBorders>
              <w:top w:val="single" w:sz="4" w:space="0" w:color="auto"/>
              <w:left w:val="nil"/>
              <w:bottom w:val="single" w:sz="4" w:space="0" w:color="auto"/>
              <w:right w:val="single" w:sz="4" w:space="0" w:color="auto"/>
            </w:tcBorders>
            <w:vAlign w:val="center"/>
          </w:tcPr>
          <w:p w14:paraId="1039299F" w14:textId="22983146" w:rsidR="004356CF" w:rsidRPr="000C6E07" w:rsidRDefault="004356CF" w:rsidP="00657BDD">
            <w:pPr>
              <w:spacing w:after="0"/>
              <w:jc w:val="center"/>
              <w:rPr>
                <w:rFonts w:eastAsia="Times New Roman" w:cs="Times New Roman"/>
                <w:color w:val="0070C0"/>
                <w:sz w:val="20"/>
                <w:szCs w:val="20"/>
                <w:lang w:val="ro-RO"/>
                <w14:ligatures w14:val="none"/>
              </w:rPr>
            </w:pPr>
            <w:r w:rsidRPr="000C6E07">
              <w:rPr>
                <w:rFonts w:cs="Times New Roman"/>
                <w:b/>
                <w:bCs/>
                <w:sz w:val="20"/>
                <w:szCs w:val="20"/>
                <w:lang w:val="ro-RO"/>
              </w:rPr>
              <w:t>10</w:t>
            </w:r>
          </w:p>
        </w:tc>
        <w:tc>
          <w:tcPr>
            <w:tcW w:w="1000" w:type="dxa"/>
            <w:tcBorders>
              <w:top w:val="single" w:sz="4" w:space="0" w:color="auto"/>
              <w:left w:val="nil"/>
              <w:bottom w:val="single" w:sz="4" w:space="0" w:color="auto"/>
              <w:right w:val="single" w:sz="4" w:space="0" w:color="auto"/>
            </w:tcBorders>
            <w:vAlign w:val="center"/>
          </w:tcPr>
          <w:p w14:paraId="7BFE6E2F" w14:textId="43A72219"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11</w:t>
            </w:r>
          </w:p>
        </w:tc>
        <w:tc>
          <w:tcPr>
            <w:tcW w:w="1000" w:type="dxa"/>
            <w:tcBorders>
              <w:top w:val="single" w:sz="4" w:space="0" w:color="auto"/>
              <w:left w:val="nil"/>
              <w:bottom w:val="single" w:sz="4" w:space="0" w:color="auto"/>
              <w:right w:val="single" w:sz="4" w:space="0" w:color="auto"/>
            </w:tcBorders>
            <w:vAlign w:val="center"/>
          </w:tcPr>
          <w:p w14:paraId="6AD5EE78" w14:textId="7DD3E07C"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12</w:t>
            </w:r>
          </w:p>
        </w:tc>
        <w:tc>
          <w:tcPr>
            <w:tcW w:w="1000" w:type="dxa"/>
            <w:tcBorders>
              <w:top w:val="single" w:sz="4" w:space="0" w:color="auto"/>
              <w:left w:val="nil"/>
              <w:bottom w:val="single" w:sz="4" w:space="0" w:color="auto"/>
              <w:right w:val="single" w:sz="4" w:space="0" w:color="auto"/>
            </w:tcBorders>
            <w:vAlign w:val="center"/>
          </w:tcPr>
          <w:p w14:paraId="2C2A52ED" w14:textId="4457F938" w:rsidR="004356CF" w:rsidRPr="000C6E07" w:rsidRDefault="004356CF" w:rsidP="00657BDD">
            <w:pPr>
              <w:spacing w:after="0"/>
              <w:jc w:val="center"/>
              <w:rPr>
                <w:rFonts w:eastAsia="Times New Roman" w:cs="Times New Roman"/>
                <w:i/>
                <w:iCs/>
                <w:color w:val="FF0000"/>
                <w:sz w:val="20"/>
                <w:szCs w:val="20"/>
                <w:lang w:val="ro-RO"/>
                <w14:ligatures w14:val="none"/>
              </w:rPr>
            </w:pPr>
            <w:r w:rsidRPr="000C6E07">
              <w:rPr>
                <w:rFonts w:cs="Times New Roman"/>
                <w:b/>
                <w:bCs/>
                <w:sz w:val="20"/>
                <w:szCs w:val="20"/>
                <w:lang w:val="ro-RO"/>
              </w:rPr>
              <w:t>13</w:t>
            </w:r>
          </w:p>
        </w:tc>
        <w:tc>
          <w:tcPr>
            <w:tcW w:w="1082" w:type="dxa"/>
            <w:tcBorders>
              <w:top w:val="single" w:sz="4" w:space="0" w:color="auto"/>
              <w:left w:val="nil"/>
              <w:bottom w:val="single" w:sz="4" w:space="0" w:color="auto"/>
              <w:right w:val="single" w:sz="4" w:space="0" w:color="auto"/>
            </w:tcBorders>
            <w:vAlign w:val="center"/>
          </w:tcPr>
          <w:p w14:paraId="6EBC2623" w14:textId="7E00C310"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14</w:t>
            </w:r>
          </w:p>
        </w:tc>
        <w:tc>
          <w:tcPr>
            <w:tcW w:w="1162" w:type="dxa"/>
            <w:tcBorders>
              <w:top w:val="single" w:sz="4" w:space="0" w:color="auto"/>
              <w:left w:val="nil"/>
              <w:bottom w:val="single" w:sz="4" w:space="0" w:color="auto"/>
              <w:right w:val="single" w:sz="4" w:space="0" w:color="auto"/>
            </w:tcBorders>
            <w:vAlign w:val="center"/>
          </w:tcPr>
          <w:p w14:paraId="430FF6F7" w14:textId="7E484853" w:rsidR="004356CF" w:rsidRPr="000C6E07" w:rsidRDefault="004356CF" w:rsidP="00657BDD">
            <w:pPr>
              <w:spacing w:after="0"/>
              <w:jc w:val="center"/>
              <w:rPr>
                <w:rFonts w:eastAsia="Times New Roman" w:cs="Times New Roman"/>
                <w:color w:val="000000"/>
                <w:sz w:val="20"/>
                <w:szCs w:val="20"/>
                <w:lang w:val="ro-RO"/>
                <w14:ligatures w14:val="none"/>
              </w:rPr>
            </w:pPr>
            <w:r w:rsidRPr="000C6E07">
              <w:rPr>
                <w:rFonts w:cs="Times New Roman"/>
                <w:b/>
                <w:bCs/>
                <w:sz w:val="20"/>
                <w:szCs w:val="20"/>
                <w:lang w:val="ro-RO"/>
              </w:rPr>
              <w:t>15</w:t>
            </w:r>
          </w:p>
        </w:tc>
      </w:tr>
      <w:tr w:rsidR="00761440" w:rsidRPr="000C6E07" w14:paraId="00A38CB2" w14:textId="77777777" w:rsidTr="007746AC">
        <w:trPr>
          <w:trHeight w:val="191"/>
        </w:trPr>
        <w:tc>
          <w:tcPr>
            <w:tcW w:w="16317" w:type="dxa"/>
            <w:gridSpan w:val="15"/>
            <w:tcBorders>
              <w:top w:val="single" w:sz="4" w:space="0" w:color="auto"/>
              <w:left w:val="single" w:sz="4" w:space="0" w:color="auto"/>
              <w:bottom w:val="single" w:sz="4" w:space="0" w:color="000000"/>
              <w:right w:val="single" w:sz="4" w:space="0" w:color="auto"/>
            </w:tcBorders>
            <w:shd w:val="clear" w:color="auto" w:fill="FFF2CC" w:themeFill="accent4" w:themeFillTint="33"/>
          </w:tcPr>
          <w:p w14:paraId="6ACE1FB7" w14:textId="5E226111" w:rsidR="00761440" w:rsidRPr="00761440" w:rsidRDefault="00761440" w:rsidP="00761440">
            <w:pPr>
              <w:spacing w:after="0"/>
              <w:rPr>
                <w:rFonts w:eastAsia="Times New Roman" w:cs="Times New Roman"/>
                <w:b/>
                <w:color w:val="000000"/>
                <w:sz w:val="20"/>
                <w:szCs w:val="20"/>
                <w:lang w:val="ro-RO"/>
                <w14:ligatures w14:val="none"/>
              </w:rPr>
            </w:pPr>
            <w:r w:rsidRPr="00761440">
              <w:rPr>
                <w:b/>
                <w:sz w:val="20"/>
                <w:szCs w:val="20"/>
                <w:lang w:val="ro-RO"/>
              </w:rPr>
              <w:t>Obiectivul general 1. Siguranță sporită a populației la domiciliu, în comunitate și în spațiile publice</w:t>
            </w:r>
          </w:p>
        </w:tc>
      </w:tr>
      <w:tr w:rsidR="00761440" w:rsidRPr="000C6E07" w14:paraId="09CF6230" w14:textId="77777777" w:rsidTr="00B40735">
        <w:trPr>
          <w:trHeight w:val="110"/>
        </w:trPr>
        <w:tc>
          <w:tcPr>
            <w:tcW w:w="16317" w:type="dxa"/>
            <w:gridSpan w:val="15"/>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tcPr>
          <w:p w14:paraId="542E285D" w14:textId="11A86217" w:rsidR="00761440" w:rsidRPr="00761440" w:rsidRDefault="00761440" w:rsidP="00761440">
            <w:pPr>
              <w:spacing w:after="0"/>
              <w:rPr>
                <w:rFonts w:eastAsia="Times New Roman" w:cs="Times New Roman"/>
                <w:b/>
                <w:color w:val="000000"/>
                <w:sz w:val="20"/>
                <w:szCs w:val="20"/>
                <w:lang w:val="ro-RO"/>
                <w14:ligatures w14:val="none"/>
              </w:rPr>
            </w:pPr>
            <w:r w:rsidRPr="00761440">
              <w:rPr>
                <w:b/>
                <w:bCs/>
                <w:kern w:val="2"/>
                <w:sz w:val="20"/>
                <w:szCs w:val="20"/>
                <w:lang w:val="ro-RO" w:eastAsia="ru-RU"/>
              </w:rPr>
              <w:t>Obiectivul specific 1.1 Răspuns profesionist, eficient și rapid asigurat la provocările specifice  până în anul 2030</w:t>
            </w:r>
          </w:p>
        </w:tc>
      </w:tr>
      <w:tr w:rsidR="00761440" w:rsidRPr="000C6E07" w14:paraId="7EAB84CE" w14:textId="77777777" w:rsidTr="004356CF">
        <w:trPr>
          <w:trHeight w:val="1300"/>
        </w:trPr>
        <w:tc>
          <w:tcPr>
            <w:tcW w:w="568" w:type="dxa"/>
            <w:vMerge w:val="restart"/>
            <w:tcBorders>
              <w:top w:val="single" w:sz="4" w:space="0" w:color="auto"/>
              <w:left w:val="single" w:sz="4" w:space="0" w:color="auto"/>
              <w:bottom w:val="single" w:sz="4" w:space="0" w:color="000000"/>
              <w:right w:val="single" w:sz="4" w:space="0" w:color="auto"/>
            </w:tcBorders>
            <w:hideMark/>
          </w:tcPr>
          <w:p w14:paraId="412A196B" w14:textId="54E6C404"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hideMark/>
          </w:tcPr>
          <w:p w14:paraId="071E0234"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viziunii de regionalizare și extindere structuri de ordine și securitate publică</w:t>
            </w:r>
          </w:p>
        </w:tc>
        <w:tc>
          <w:tcPr>
            <w:tcW w:w="1843" w:type="dxa"/>
            <w:tcBorders>
              <w:top w:val="single" w:sz="4" w:space="0" w:color="auto"/>
              <w:left w:val="nil"/>
              <w:bottom w:val="single" w:sz="4" w:space="0" w:color="auto"/>
              <w:right w:val="single" w:sz="4" w:space="0" w:color="auto"/>
            </w:tcBorders>
            <w:vAlign w:val="center"/>
            <w:hideMark/>
          </w:tcPr>
          <w:p w14:paraId="254740A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 sedii pentru direcții regionale ale IGP finalizate, dotate și funcționale</w:t>
            </w:r>
          </w:p>
        </w:tc>
        <w:tc>
          <w:tcPr>
            <w:tcW w:w="1026" w:type="dxa"/>
            <w:tcBorders>
              <w:top w:val="single" w:sz="4" w:space="0" w:color="auto"/>
              <w:left w:val="nil"/>
              <w:bottom w:val="single" w:sz="4" w:space="0" w:color="auto"/>
              <w:right w:val="single" w:sz="4" w:space="0" w:color="auto"/>
            </w:tcBorders>
            <w:vAlign w:val="center"/>
            <w:hideMark/>
          </w:tcPr>
          <w:p w14:paraId="39895177"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281.365,4</w:t>
            </w:r>
          </w:p>
        </w:tc>
        <w:tc>
          <w:tcPr>
            <w:tcW w:w="1100" w:type="dxa"/>
            <w:tcBorders>
              <w:top w:val="single" w:sz="4" w:space="0" w:color="auto"/>
              <w:left w:val="nil"/>
              <w:bottom w:val="single" w:sz="4" w:space="0" w:color="auto"/>
              <w:right w:val="single" w:sz="4" w:space="0" w:color="auto"/>
            </w:tcBorders>
            <w:vAlign w:val="center"/>
            <w:hideMark/>
          </w:tcPr>
          <w:p w14:paraId="64071E8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281.365,4</w:t>
            </w:r>
          </w:p>
        </w:tc>
        <w:tc>
          <w:tcPr>
            <w:tcW w:w="1015" w:type="dxa"/>
            <w:tcBorders>
              <w:top w:val="single" w:sz="4" w:space="0" w:color="auto"/>
              <w:left w:val="nil"/>
              <w:bottom w:val="single" w:sz="4" w:space="0" w:color="auto"/>
              <w:right w:val="single" w:sz="4" w:space="0" w:color="auto"/>
            </w:tcBorders>
            <w:vAlign w:val="center"/>
            <w:hideMark/>
          </w:tcPr>
          <w:p w14:paraId="002B8BF3"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21A48767"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shd w:val="clear" w:color="000000" w:fill="FFFFFF"/>
            <w:vAlign w:val="center"/>
            <w:hideMark/>
          </w:tcPr>
          <w:p w14:paraId="3FEB2EA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Planul de creștere a RM pentru anii 2025-2027</w:t>
            </w:r>
          </w:p>
        </w:tc>
        <w:tc>
          <w:tcPr>
            <w:tcW w:w="1000" w:type="dxa"/>
            <w:tcBorders>
              <w:top w:val="single" w:sz="4" w:space="0" w:color="auto"/>
              <w:left w:val="nil"/>
              <w:bottom w:val="single" w:sz="4" w:space="0" w:color="auto"/>
              <w:right w:val="single" w:sz="4" w:space="0" w:color="auto"/>
            </w:tcBorders>
            <w:vAlign w:val="center"/>
            <w:hideMark/>
          </w:tcPr>
          <w:p w14:paraId="3C6948F5"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132.096,1</w:t>
            </w:r>
          </w:p>
        </w:tc>
        <w:tc>
          <w:tcPr>
            <w:tcW w:w="1000" w:type="dxa"/>
            <w:tcBorders>
              <w:top w:val="single" w:sz="4" w:space="0" w:color="auto"/>
              <w:left w:val="nil"/>
              <w:bottom w:val="single" w:sz="4" w:space="0" w:color="auto"/>
              <w:right w:val="single" w:sz="4" w:space="0" w:color="auto"/>
            </w:tcBorders>
            <w:vAlign w:val="center"/>
            <w:hideMark/>
          </w:tcPr>
          <w:p w14:paraId="2E20B0C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149.269,3</w:t>
            </w:r>
          </w:p>
        </w:tc>
        <w:tc>
          <w:tcPr>
            <w:tcW w:w="1000" w:type="dxa"/>
            <w:tcBorders>
              <w:top w:val="single" w:sz="4" w:space="0" w:color="auto"/>
              <w:left w:val="nil"/>
              <w:bottom w:val="single" w:sz="4" w:space="0" w:color="auto"/>
              <w:right w:val="single" w:sz="4" w:space="0" w:color="auto"/>
            </w:tcBorders>
            <w:vAlign w:val="center"/>
            <w:hideMark/>
          </w:tcPr>
          <w:p w14:paraId="3729961C"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51707A46"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630FC1EB"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6E8F433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single" w:sz="4" w:space="0" w:color="auto"/>
              <w:left w:val="nil"/>
              <w:bottom w:val="single" w:sz="4" w:space="0" w:color="auto"/>
              <w:right w:val="single" w:sz="4" w:space="0" w:color="auto"/>
            </w:tcBorders>
            <w:vAlign w:val="center"/>
            <w:hideMark/>
          </w:tcPr>
          <w:p w14:paraId="09117B1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43EDC3EC" w14:textId="77777777" w:rsidTr="004356CF">
        <w:trPr>
          <w:trHeight w:val="1560"/>
        </w:trPr>
        <w:tc>
          <w:tcPr>
            <w:tcW w:w="568" w:type="dxa"/>
            <w:vMerge/>
            <w:tcBorders>
              <w:top w:val="single" w:sz="4" w:space="0" w:color="auto"/>
              <w:left w:val="single" w:sz="4" w:space="0" w:color="auto"/>
              <w:bottom w:val="single" w:sz="4" w:space="0" w:color="000000"/>
              <w:right w:val="single" w:sz="4" w:space="0" w:color="auto"/>
            </w:tcBorders>
            <w:hideMark/>
          </w:tcPr>
          <w:p w14:paraId="1512CB2C"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D09260A"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304F2F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Planul de acțiuni privind implementarea viziunii de regionalizare definitivat cu 3 luni înainte de darea în exploatare a sediilor direcțiilor regionale</w:t>
            </w:r>
          </w:p>
        </w:tc>
        <w:tc>
          <w:tcPr>
            <w:tcW w:w="1026" w:type="dxa"/>
            <w:tcBorders>
              <w:top w:val="nil"/>
              <w:left w:val="nil"/>
              <w:bottom w:val="single" w:sz="4" w:space="0" w:color="auto"/>
              <w:right w:val="single" w:sz="4" w:space="0" w:color="auto"/>
            </w:tcBorders>
            <w:vAlign w:val="center"/>
            <w:hideMark/>
          </w:tcPr>
          <w:p w14:paraId="5FE91949"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0C7BEA87"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08E0EAD4"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79D79D1" w14:textId="77777777" w:rsidR="00761440" w:rsidRPr="000C6E07" w:rsidRDefault="00761440" w:rsidP="00761440">
            <w:pPr>
              <w:spacing w:after="0"/>
              <w:jc w:val="center"/>
              <w:rPr>
                <w:rFonts w:eastAsia="Times New Roman" w:cs="Times New Roman"/>
                <w:i/>
                <w:iCs/>
                <w:color w:val="FF0000"/>
                <w:sz w:val="20"/>
                <w:szCs w:val="20"/>
                <w:lang w:val="ro-RO"/>
                <w14:ligatures w14:val="none"/>
              </w:rPr>
            </w:pPr>
            <w:r w:rsidRPr="000C6E07">
              <w:rPr>
                <w:rFonts w:eastAsia="Times New Roman" w:cs="Times New Roman"/>
                <w:i/>
                <w:iCs/>
                <w:color w:val="FF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2F57269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D7106C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41E3E3D"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07466F3F" w14:textId="77777777" w:rsidR="00761440" w:rsidRPr="000C6E07" w:rsidRDefault="00761440" w:rsidP="00761440">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3426897F" w14:textId="77777777" w:rsidR="00761440" w:rsidRPr="000C6E07" w:rsidRDefault="00761440" w:rsidP="00761440">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45759D29" w14:textId="77777777" w:rsidR="00761440" w:rsidRPr="000C6E07" w:rsidRDefault="00761440" w:rsidP="00761440">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82" w:type="dxa"/>
            <w:tcBorders>
              <w:top w:val="nil"/>
              <w:left w:val="nil"/>
              <w:bottom w:val="single" w:sz="4" w:space="0" w:color="auto"/>
              <w:right w:val="single" w:sz="4" w:space="0" w:color="auto"/>
            </w:tcBorders>
            <w:vAlign w:val="center"/>
            <w:hideMark/>
          </w:tcPr>
          <w:p w14:paraId="4C1B076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43F9097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7FDFCDB8" w14:textId="77777777" w:rsidTr="004356CF">
        <w:trPr>
          <w:trHeight w:val="1300"/>
        </w:trPr>
        <w:tc>
          <w:tcPr>
            <w:tcW w:w="568" w:type="dxa"/>
            <w:vMerge/>
            <w:tcBorders>
              <w:top w:val="single" w:sz="4" w:space="0" w:color="auto"/>
              <w:left w:val="single" w:sz="4" w:space="0" w:color="auto"/>
              <w:bottom w:val="single" w:sz="4" w:space="0" w:color="000000"/>
              <w:right w:val="single" w:sz="4" w:space="0" w:color="auto"/>
            </w:tcBorders>
            <w:hideMark/>
          </w:tcPr>
          <w:p w14:paraId="13820177"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D7EE5B4"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83F226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de evaluare a reorganizării inclusiv prin prima respectării drepturilor și libertăților omului</w:t>
            </w:r>
          </w:p>
        </w:tc>
        <w:tc>
          <w:tcPr>
            <w:tcW w:w="1026" w:type="dxa"/>
            <w:tcBorders>
              <w:top w:val="nil"/>
              <w:left w:val="nil"/>
              <w:bottom w:val="single" w:sz="4" w:space="0" w:color="auto"/>
              <w:right w:val="single" w:sz="4" w:space="0" w:color="auto"/>
            </w:tcBorders>
            <w:vAlign w:val="center"/>
            <w:hideMark/>
          </w:tcPr>
          <w:p w14:paraId="7918892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D51DFE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09067E6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92BE9B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04B2097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D21067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02224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7EAD5B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159CF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34184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82" w:type="dxa"/>
            <w:tcBorders>
              <w:top w:val="nil"/>
              <w:left w:val="nil"/>
              <w:bottom w:val="single" w:sz="4" w:space="0" w:color="auto"/>
              <w:right w:val="single" w:sz="4" w:space="0" w:color="auto"/>
            </w:tcBorders>
            <w:vAlign w:val="center"/>
            <w:hideMark/>
          </w:tcPr>
          <w:p w14:paraId="1095615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2030</w:t>
            </w:r>
          </w:p>
        </w:tc>
        <w:tc>
          <w:tcPr>
            <w:tcW w:w="1162" w:type="dxa"/>
            <w:tcBorders>
              <w:top w:val="nil"/>
              <w:left w:val="nil"/>
              <w:bottom w:val="single" w:sz="4" w:space="0" w:color="auto"/>
              <w:right w:val="single" w:sz="4" w:space="0" w:color="auto"/>
            </w:tcBorders>
            <w:vAlign w:val="center"/>
            <w:hideMark/>
          </w:tcPr>
          <w:p w14:paraId="4DC4543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590EB05F" w14:textId="77777777" w:rsidTr="004356CF">
        <w:trPr>
          <w:trHeight w:val="2340"/>
        </w:trPr>
        <w:tc>
          <w:tcPr>
            <w:tcW w:w="568" w:type="dxa"/>
            <w:vMerge/>
            <w:tcBorders>
              <w:top w:val="single" w:sz="4" w:space="0" w:color="auto"/>
              <w:left w:val="single" w:sz="4" w:space="0" w:color="auto"/>
              <w:bottom w:val="single" w:sz="4" w:space="0" w:color="000000"/>
              <w:right w:val="single" w:sz="4" w:space="0" w:color="auto"/>
            </w:tcBorders>
            <w:hideMark/>
          </w:tcPr>
          <w:p w14:paraId="47E402D4"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4D69F1"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61E5FDBE" w14:textId="2AC39C36"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Conceptul de regionalizare prin acoperirea teritoriului național și crearea/operaționalizarea companiilor mobile de intervenție ale IGC la Soroca, Hâncești și Vulcănești dezvoltat</w:t>
            </w:r>
          </w:p>
        </w:tc>
        <w:tc>
          <w:tcPr>
            <w:tcW w:w="1026" w:type="dxa"/>
            <w:tcBorders>
              <w:top w:val="nil"/>
              <w:left w:val="nil"/>
              <w:bottom w:val="single" w:sz="4" w:space="0" w:color="auto"/>
              <w:right w:val="single" w:sz="4" w:space="0" w:color="auto"/>
            </w:tcBorders>
            <w:vAlign w:val="center"/>
            <w:hideMark/>
          </w:tcPr>
          <w:p w14:paraId="4F444EE5"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3.600,0</w:t>
            </w:r>
          </w:p>
        </w:tc>
        <w:tc>
          <w:tcPr>
            <w:tcW w:w="1100" w:type="dxa"/>
            <w:tcBorders>
              <w:top w:val="nil"/>
              <w:left w:val="nil"/>
              <w:bottom w:val="single" w:sz="4" w:space="0" w:color="auto"/>
              <w:right w:val="single" w:sz="4" w:space="0" w:color="auto"/>
            </w:tcBorders>
            <w:vAlign w:val="center"/>
            <w:hideMark/>
          </w:tcPr>
          <w:p w14:paraId="0A937E1D"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3.600,0</w:t>
            </w:r>
          </w:p>
        </w:tc>
        <w:tc>
          <w:tcPr>
            <w:tcW w:w="1015" w:type="dxa"/>
            <w:tcBorders>
              <w:top w:val="nil"/>
              <w:left w:val="nil"/>
              <w:bottom w:val="single" w:sz="4" w:space="0" w:color="auto"/>
              <w:right w:val="single" w:sz="4" w:space="0" w:color="auto"/>
            </w:tcBorders>
            <w:vAlign w:val="center"/>
            <w:hideMark/>
          </w:tcPr>
          <w:p w14:paraId="5759C69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A25A26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00D4C8D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E2A0ED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E881810"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1.200,0</w:t>
            </w:r>
          </w:p>
        </w:tc>
        <w:tc>
          <w:tcPr>
            <w:tcW w:w="1000" w:type="dxa"/>
            <w:tcBorders>
              <w:top w:val="nil"/>
              <w:left w:val="nil"/>
              <w:bottom w:val="single" w:sz="4" w:space="0" w:color="auto"/>
              <w:right w:val="single" w:sz="4" w:space="0" w:color="auto"/>
            </w:tcBorders>
            <w:vAlign w:val="center"/>
            <w:hideMark/>
          </w:tcPr>
          <w:p w14:paraId="360FE79E"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1.200,0</w:t>
            </w:r>
          </w:p>
        </w:tc>
        <w:tc>
          <w:tcPr>
            <w:tcW w:w="1000" w:type="dxa"/>
            <w:tcBorders>
              <w:top w:val="nil"/>
              <w:left w:val="nil"/>
              <w:bottom w:val="single" w:sz="4" w:space="0" w:color="auto"/>
              <w:right w:val="single" w:sz="4" w:space="0" w:color="auto"/>
            </w:tcBorders>
            <w:vAlign w:val="center"/>
            <w:hideMark/>
          </w:tcPr>
          <w:p w14:paraId="1B356F05"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1.200,0</w:t>
            </w:r>
          </w:p>
        </w:tc>
        <w:tc>
          <w:tcPr>
            <w:tcW w:w="1000" w:type="dxa"/>
            <w:tcBorders>
              <w:top w:val="nil"/>
              <w:left w:val="nil"/>
              <w:bottom w:val="single" w:sz="4" w:space="0" w:color="auto"/>
              <w:right w:val="single" w:sz="4" w:space="0" w:color="auto"/>
            </w:tcBorders>
            <w:shd w:val="clear" w:color="000000" w:fill="FFFFFF"/>
            <w:vAlign w:val="center"/>
            <w:hideMark/>
          </w:tcPr>
          <w:p w14:paraId="6BF0C56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shd w:val="clear" w:color="000000" w:fill="FFFFFF"/>
            <w:vAlign w:val="center"/>
            <w:hideMark/>
          </w:tcPr>
          <w:p w14:paraId="0ED17E7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15EDA63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439D7500" w14:textId="77777777" w:rsidTr="004356CF">
        <w:trPr>
          <w:trHeight w:val="1560"/>
        </w:trPr>
        <w:tc>
          <w:tcPr>
            <w:tcW w:w="568" w:type="dxa"/>
            <w:vMerge/>
            <w:tcBorders>
              <w:top w:val="single" w:sz="4" w:space="0" w:color="auto"/>
              <w:left w:val="single" w:sz="4" w:space="0" w:color="auto"/>
              <w:bottom w:val="single" w:sz="4" w:space="0" w:color="000000"/>
              <w:right w:val="single" w:sz="4" w:space="0" w:color="auto"/>
            </w:tcBorders>
            <w:hideMark/>
          </w:tcPr>
          <w:p w14:paraId="23911A49"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0AA19F8"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shd w:val="clear" w:color="000000" w:fill="FFFFFF"/>
            <w:vAlign w:val="center"/>
            <w:hideMark/>
          </w:tcPr>
          <w:p w14:paraId="68B30274" w14:textId="4867F6AB"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Statul de personal în structurile responsabile cu asigurarea și restabilirea ordinii publice modernizat (200 angajați anual)</w:t>
            </w:r>
          </w:p>
        </w:tc>
        <w:tc>
          <w:tcPr>
            <w:tcW w:w="1026" w:type="dxa"/>
            <w:tcBorders>
              <w:top w:val="nil"/>
              <w:left w:val="nil"/>
              <w:bottom w:val="single" w:sz="4" w:space="0" w:color="auto"/>
              <w:right w:val="single" w:sz="4" w:space="0" w:color="auto"/>
            </w:tcBorders>
            <w:vAlign w:val="center"/>
            <w:hideMark/>
          </w:tcPr>
          <w:p w14:paraId="3672014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264.054,7</w:t>
            </w:r>
          </w:p>
        </w:tc>
        <w:tc>
          <w:tcPr>
            <w:tcW w:w="1100" w:type="dxa"/>
            <w:tcBorders>
              <w:top w:val="nil"/>
              <w:left w:val="nil"/>
              <w:bottom w:val="single" w:sz="4" w:space="0" w:color="auto"/>
              <w:right w:val="single" w:sz="4" w:space="0" w:color="auto"/>
            </w:tcBorders>
            <w:vAlign w:val="center"/>
            <w:hideMark/>
          </w:tcPr>
          <w:p w14:paraId="4EA87C54"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264.054,7</w:t>
            </w:r>
          </w:p>
        </w:tc>
        <w:tc>
          <w:tcPr>
            <w:tcW w:w="1015" w:type="dxa"/>
            <w:tcBorders>
              <w:top w:val="nil"/>
              <w:left w:val="nil"/>
              <w:bottom w:val="single" w:sz="4" w:space="0" w:color="auto"/>
              <w:right w:val="single" w:sz="4" w:space="0" w:color="auto"/>
            </w:tcBorders>
            <w:vAlign w:val="center"/>
            <w:hideMark/>
          </w:tcPr>
          <w:p w14:paraId="30B6737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277701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shd w:val="clear" w:color="000000" w:fill="FFFFFF"/>
            <w:vAlign w:val="center"/>
            <w:hideMark/>
          </w:tcPr>
          <w:p w14:paraId="7F32F7B4" w14:textId="7777777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p w14:paraId="1B152656" w14:textId="30A4B577" w:rsidR="005274CE" w:rsidRPr="000C6E07" w:rsidRDefault="005274CE"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05</w:t>
            </w:r>
          </w:p>
        </w:tc>
        <w:tc>
          <w:tcPr>
            <w:tcW w:w="1000" w:type="dxa"/>
            <w:tcBorders>
              <w:top w:val="nil"/>
              <w:left w:val="nil"/>
              <w:bottom w:val="single" w:sz="4" w:space="0" w:color="auto"/>
              <w:right w:val="single" w:sz="4" w:space="0" w:color="auto"/>
            </w:tcBorders>
            <w:vAlign w:val="center"/>
            <w:hideMark/>
          </w:tcPr>
          <w:p w14:paraId="156C7940"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52.810,9</w:t>
            </w:r>
          </w:p>
        </w:tc>
        <w:tc>
          <w:tcPr>
            <w:tcW w:w="1000" w:type="dxa"/>
            <w:tcBorders>
              <w:top w:val="nil"/>
              <w:left w:val="nil"/>
              <w:bottom w:val="single" w:sz="4" w:space="0" w:color="auto"/>
              <w:right w:val="single" w:sz="4" w:space="0" w:color="auto"/>
            </w:tcBorders>
            <w:vAlign w:val="center"/>
            <w:hideMark/>
          </w:tcPr>
          <w:p w14:paraId="7D745514"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52.810,9</w:t>
            </w:r>
          </w:p>
        </w:tc>
        <w:tc>
          <w:tcPr>
            <w:tcW w:w="1000" w:type="dxa"/>
            <w:tcBorders>
              <w:top w:val="nil"/>
              <w:left w:val="nil"/>
              <w:bottom w:val="single" w:sz="4" w:space="0" w:color="auto"/>
              <w:right w:val="single" w:sz="4" w:space="0" w:color="auto"/>
            </w:tcBorders>
            <w:vAlign w:val="center"/>
            <w:hideMark/>
          </w:tcPr>
          <w:p w14:paraId="72F0CF6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52.810,9</w:t>
            </w:r>
          </w:p>
        </w:tc>
        <w:tc>
          <w:tcPr>
            <w:tcW w:w="1000" w:type="dxa"/>
            <w:tcBorders>
              <w:top w:val="nil"/>
              <w:left w:val="nil"/>
              <w:bottom w:val="single" w:sz="4" w:space="0" w:color="auto"/>
              <w:right w:val="single" w:sz="4" w:space="0" w:color="auto"/>
            </w:tcBorders>
            <w:vAlign w:val="center"/>
            <w:hideMark/>
          </w:tcPr>
          <w:p w14:paraId="1B50CAD4"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52.810,9</w:t>
            </w:r>
          </w:p>
        </w:tc>
        <w:tc>
          <w:tcPr>
            <w:tcW w:w="1000" w:type="dxa"/>
            <w:tcBorders>
              <w:top w:val="nil"/>
              <w:left w:val="nil"/>
              <w:bottom w:val="single" w:sz="4" w:space="0" w:color="auto"/>
              <w:right w:val="single" w:sz="4" w:space="0" w:color="auto"/>
            </w:tcBorders>
            <w:vAlign w:val="center"/>
            <w:hideMark/>
          </w:tcPr>
          <w:p w14:paraId="0581F3F9"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52.810,9</w:t>
            </w:r>
          </w:p>
        </w:tc>
        <w:tc>
          <w:tcPr>
            <w:tcW w:w="1082" w:type="dxa"/>
            <w:tcBorders>
              <w:top w:val="nil"/>
              <w:left w:val="nil"/>
              <w:bottom w:val="single" w:sz="4" w:space="0" w:color="auto"/>
              <w:right w:val="single" w:sz="4" w:space="0" w:color="auto"/>
            </w:tcBorders>
            <w:vAlign w:val="center"/>
            <w:hideMark/>
          </w:tcPr>
          <w:p w14:paraId="6579397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769EC2A0" w14:textId="36205573"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Pr="000C6E07">
              <w:rPr>
                <w:rFonts w:eastAsia="Times New Roman" w:cs="Times New Roman"/>
                <w:color w:val="000000"/>
                <w:sz w:val="20"/>
                <w:szCs w:val="20"/>
                <w:lang w:val="ro-RO"/>
                <w14:ligatures w14:val="none"/>
              </w:rPr>
              <w:br/>
              <w:t>Ministerul Finanțelor</w:t>
            </w:r>
          </w:p>
        </w:tc>
      </w:tr>
      <w:tr w:rsidR="00761440" w:rsidRPr="000C6E07" w14:paraId="094FD421"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0A9E6B07" w14:textId="6CE4D8DD"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7A7C9FD7"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Auditarea proceselor în domeniul de ordine și securitate publică, inclusiv a proceselor nereglementate</w:t>
            </w:r>
          </w:p>
        </w:tc>
        <w:tc>
          <w:tcPr>
            <w:tcW w:w="1843" w:type="dxa"/>
            <w:tcBorders>
              <w:top w:val="nil"/>
              <w:left w:val="nil"/>
              <w:bottom w:val="single" w:sz="4" w:space="0" w:color="auto"/>
              <w:right w:val="single" w:sz="4" w:space="0" w:color="auto"/>
            </w:tcBorders>
            <w:vAlign w:val="center"/>
            <w:hideMark/>
          </w:tcPr>
          <w:p w14:paraId="1A0CF31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Instruirea personalului specializat pentru efectuarea activității de auditare a proceselor instituționale</w:t>
            </w:r>
          </w:p>
        </w:tc>
        <w:tc>
          <w:tcPr>
            <w:tcW w:w="1026" w:type="dxa"/>
            <w:tcBorders>
              <w:top w:val="nil"/>
              <w:left w:val="nil"/>
              <w:bottom w:val="single" w:sz="4" w:space="0" w:color="auto"/>
              <w:right w:val="single" w:sz="4" w:space="0" w:color="auto"/>
            </w:tcBorders>
            <w:vAlign w:val="center"/>
            <w:hideMark/>
          </w:tcPr>
          <w:p w14:paraId="7DD5A5A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80,0</w:t>
            </w:r>
          </w:p>
        </w:tc>
        <w:tc>
          <w:tcPr>
            <w:tcW w:w="1100" w:type="dxa"/>
            <w:tcBorders>
              <w:top w:val="nil"/>
              <w:left w:val="nil"/>
              <w:bottom w:val="single" w:sz="4" w:space="0" w:color="auto"/>
              <w:right w:val="single" w:sz="4" w:space="0" w:color="auto"/>
            </w:tcBorders>
            <w:vAlign w:val="center"/>
            <w:hideMark/>
          </w:tcPr>
          <w:p w14:paraId="084190CD"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65CCFB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80,0</w:t>
            </w:r>
          </w:p>
        </w:tc>
        <w:tc>
          <w:tcPr>
            <w:tcW w:w="922" w:type="dxa"/>
            <w:tcBorders>
              <w:top w:val="nil"/>
              <w:left w:val="nil"/>
              <w:bottom w:val="single" w:sz="4" w:space="0" w:color="auto"/>
              <w:right w:val="single" w:sz="4" w:space="0" w:color="auto"/>
            </w:tcBorders>
            <w:vAlign w:val="center"/>
            <w:hideMark/>
          </w:tcPr>
          <w:p w14:paraId="419A08CF" w14:textId="203D6E22"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00A050B1" w:rsidRPr="000C6E07">
              <w:rPr>
                <w:rFonts w:eastAsia="Times New Roman" w:cs="Times New Roman"/>
                <w:color w:val="0070C0"/>
                <w:sz w:val="20"/>
                <w:szCs w:val="20"/>
                <w:lang w:val="ro-RO"/>
                <w14:ligatures w14:val="none"/>
              </w:rPr>
              <w:t>80,0</w:t>
            </w:r>
          </w:p>
        </w:tc>
        <w:tc>
          <w:tcPr>
            <w:tcW w:w="1182" w:type="dxa"/>
            <w:tcBorders>
              <w:top w:val="nil"/>
              <w:left w:val="nil"/>
              <w:bottom w:val="single" w:sz="4" w:space="0" w:color="auto"/>
              <w:right w:val="single" w:sz="4" w:space="0" w:color="auto"/>
            </w:tcBorders>
            <w:vAlign w:val="center"/>
            <w:hideMark/>
          </w:tcPr>
          <w:p w14:paraId="4D50B8C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8812</w:t>
            </w:r>
          </w:p>
        </w:tc>
        <w:tc>
          <w:tcPr>
            <w:tcW w:w="1000" w:type="dxa"/>
            <w:tcBorders>
              <w:top w:val="nil"/>
              <w:left w:val="nil"/>
              <w:bottom w:val="single" w:sz="4" w:space="0" w:color="auto"/>
              <w:right w:val="single" w:sz="4" w:space="0" w:color="auto"/>
            </w:tcBorders>
            <w:vAlign w:val="center"/>
            <w:hideMark/>
          </w:tcPr>
          <w:p w14:paraId="2CCE74E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7669E8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80,0</w:t>
            </w:r>
          </w:p>
        </w:tc>
        <w:tc>
          <w:tcPr>
            <w:tcW w:w="1000" w:type="dxa"/>
            <w:tcBorders>
              <w:top w:val="nil"/>
              <w:left w:val="nil"/>
              <w:bottom w:val="single" w:sz="4" w:space="0" w:color="auto"/>
              <w:right w:val="single" w:sz="4" w:space="0" w:color="auto"/>
            </w:tcBorders>
            <w:vAlign w:val="center"/>
            <w:hideMark/>
          </w:tcPr>
          <w:p w14:paraId="06DB684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3BFBC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A35E90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139FAE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2027</w:t>
            </w:r>
          </w:p>
        </w:tc>
        <w:tc>
          <w:tcPr>
            <w:tcW w:w="1162" w:type="dxa"/>
            <w:tcBorders>
              <w:top w:val="nil"/>
              <w:left w:val="nil"/>
              <w:bottom w:val="single" w:sz="4" w:space="0" w:color="auto"/>
              <w:right w:val="single" w:sz="4" w:space="0" w:color="auto"/>
            </w:tcBorders>
            <w:vAlign w:val="center"/>
            <w:hideMark/>
          </w:tcPr>
          <w:p w14:paraId="085A3FD7" w14:textId="29BBB72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5F4800D0"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5689B23B"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B875CC5"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2FEDB8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de audit al proceselor care se referă la interacțiunea cu populația aprobat;</w:t>
            </w:r>
          </w:p>
        </w:tc>
        <w:tc>
          <w:tcPr>
            <w:tcW w:w="1026" w:type="dxa"/>
            <w:vMerge w:val="restart"/>
            <w:tcBorders>
              <w:top w:val="nil"/>
              <w:left w:val="single" w:sz="4" w:space="0" w:color="auto"/>
              <w:bottom w:val="single" w:sz="4" w:space="0" w:color="000000"/>
              <w:right w:val="single" w:sz="4" w:space="0" w:color="auto"/>
            </w:tcBorders>
            <w:vAlign w:val="center"/>
            <w:hideMark/>
          </w:tcPr>
          <w:p w14:paraId="56382ACC"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000000"/>
              <w:right w:val="single" w:sz="4" w:space="0" w:color="auto"/>
            </w:tcBorders>
            <w:vAlign w:val="center"/>
            <w:hideMark/>
          </w:tcPr>
          <w:p w14:paraId="43CEB7C4"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single" w:sz="4" w:space="0" w:color="auto"/>
              <w:bottom w:val="single" w:sz="4" w:space="0" w:color="000000"/>
              <w:right w:val="single" w:sz="4" w:space="0" w:color="auto"/>
            </w:tcBorders>
            <w:vAlign w:val="center"/>
            <w:hideMark/>
          </w:tcPr>
          <w:p w14:paraId="6C6CA40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000000"/>
              <w:right w:val="single" w:sz="4" w:space="0" w:color="auto"/>
            </w:tcBorders>
            <w:vAlign w:val="center"/>
            <w:hideMark/>
          </w:tcPr>
          <w:p w14:paraId="1EDCB75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000000"/>
              <w:right w:val="single" w:sz="4" w:space="0" w:color="auto"/>
            </w:tcBorders>
            <w:vAlign w:val="center"/>
            <w:hideMark/>
          </w:tcPr>
          <w:p w14:paraId="42D6326D" w14:textId="29329987" w:rsidR="00B9278A" w:rsidRDefault="00B9278A" w:rsidP="00B9278A">
            <w:pPr>
              <w:spacing w:after="0"/>
              <w:rPr>
                <w:rFonts w:eastAsia="Times New Roman" w:cs="Times New Roman"/>
                <w:color w:val="000000"/>
                <w:sz w:val="20"/>
                <w:szCs w:val="20"/>
                <w:lang w:val="ro-RO"/>
                <w14:ligatures w14:val="none"/>
              </w:rPr>
            </w:pPr>
          </w:p>
          <w:p w14:paraId="078CBC52" w14:textId="3D21556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p w14:paraId="47E90FCD" w14:textId="77777777" w:rsidR="00B9278A" w:rsidRDefault="00B9278A" w:rsidP="00761440">
            <w:pPr>
              <w:spacing w:after="0"/>
              <w:jc w:val="center"/>
              <w:rPr>
                <w:rFonts w:eastAsia="Times New Roman" w:cs="Times New Roman"/>
                <w:color w:val="000000"/>
                <w:sz w:val="20"/>
                <w:szCs w:val="20"/>
                <w:lang w:val="ro-RO"/>
                <w14:ligatures w14:val="none"/>
              </w:rPr>
            </w:pPr>
          </w:p>
          <w:p w14:paraId="147283E9" w14:textId="77777777" w:rsidR="00B9278A" w:rsidRPr="000C6E07" w:rsidRDefault="00B9278A" w:rsidP="00761440">
            <w:pPr>
              <w:spacing w:after="0"/>
              <w:jc w:val="center"/>
              <w:rPr>
                <w:rFonts w:eastAsia="Times New Roman" w:cs="Times New Roman"/>
                <w:color w:val="000000"/>
                <w:sz w:val="20"/>
                <w:szCs w:val="20"/>
                <w:lang w:val="ro-RO"/>
                <w14:ligatures w14:val="none"/>
              </w:rPr>
            </w:pPr>
          </w:p>
        </w:tc>
        <w:tc>
          <w:tcPr>
            <w:tcW w:w="1000" w:type="dxa"/>
            <w:vMerge w:val="restart"/>
            <w:tcBorders>
              <w:top w:val="nil"/>
              <w:left w:val="single" w:sz="4" w:space="0" w:color="auto"/>
              <w:bottom w:val="single" w:sz="4" w:space="0" w:color="000000"/>
              <w:right w:val="single" w:sz="4" w:space="0" w:color="auto"/>
            </w:tcBorders>
            <w:vAlign w:val="center"/>
            <w:hideMark/>
          </w:tcPr>
          <w:p w14:paraId="083B4C6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000000"/>
              <w:right w:val="single" w:sz="4" w:space="0" w:color="auto"/>
            </w:tcBorders>
            <w:vAlign w:val="center"/>
            <w:hideMark/>
          </w:tcPr>
          <w:p w14:paraId="65EFAFB6"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vMerge w:val="restart"/>
            <w:tcBorders>
              <w:top w:val="nil"/>
              <w:left w:val="single" w:sz="4" w:space="0" w:color="auto"/>
              <w:bottom w:val="single" w:sz="4" w:space="0" w:color="000000"/>
              <w:right w:val="single" w:sz="4" w:space="0" w:color="auto"/>
            </w:tcBorders>
            <w:vAlign w:val="center"/>
            <w:hideMark/>
          </w:tcPr>
          <w:p w14:paraId="3734C936"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single" w:sz="4" w:space="0" w:color="auto"/>
              <w:bottom w:val="single" w:sz="4" w:space="0" w:color="000000"/>
              <w:right w:val="single" w:sz="4" w:space="0" w:color="auto"/>
            </w:tcBorders>
            <w:vAlign w:val="center"/>
            <w:hideMark/>
          </w:tcPr>
          <w:p w14:paraId="7F17EC4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000000"/>
              <w:right w:val="single" w:sz="4" w:space="0" w:color="auto"/>
            </w:tcBorders>
            <w:vAlign w:val="center"/>
            <w:hideMark/>
          </w:tcPr>
          <w:p w14:paraId="53CFC9C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000000"/>
              <w:right w:val="single" w:sz="4" w:space="0" w:color="auto"/>
            </w:tcBorders>
            <w:vAlign w:val="center"/>
            <w:hideMark/>
          </w:tcPr>
          <w:p w14:paraId="657C2EC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val="restart"/>
            <w:tcBorders>
              <w:top w:val="nil"/>
              <w:left w:val="single" w:sz="4" w:space="0" w:color="auto"/>
              <w:bottom w:val="single" w:sz="4" w:space="0" w:color="000000"/>
              <w:right w:val="single" w:sz="4" w:space="0" w:color="auto"/>
            </w:tcBorders>
            <w:vAlign w:val="center"/>
            <w:hideMark/>
          </w:tcPr>
          <w:p w14:paraId="681A980C" w14:textId="4532EEAD"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5909D822"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68542073"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E6DC366"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3EE284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Activități improprii și cauze ale acestora reflectate în raport</w:t>
            </w:r>
          </w:p>
        </w:tc>
        <w:tc>
          <w:tcPr>
            <w:tcW w:w="1026" w:type="dxa"/>
            <w:vMerge/>
            <w:tcBorders>
              <w:top w:val="nil"/>
              <w:left w:val="single" w:sz="4" w:space="0" w:color="auto"/>
              <w:bottom w:val="single" w:sz="4" w:space="0" w:color="000000"/>
              <w:right w:val="single" w:sz="4" w:space="0" w:color="auto"/>
            </w:tcBorders>
            <w:vAlign w:val="center"/>
            <w:hideMark/>
          </w:tcPr>
          <w:p w14:paraId="728BE7F5"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000000"/>
              <w:right w:val="single" w:sz="4" w:space="0" w:color="auto"/>
            </w:tcBorders>
            <w:vAlign w:val="center"/>
            <w:hideMark/>
          </w:tcPr>
          <w:p w14:paraId="7C4E9CBC"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000000"/>
              <w:right w:val="single" w:sz="4" w:space="0" w:color="auto"/>
            </w:tcBorders>
            <w:vAlign w:val="center"/>
            <w:hideMark/>
          </w:tcPr>
          <w:p w14:paraId="6EDFC684"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000000"/>
              <w:right w:val="single" w:sz="4" w:space="0" w:color="auto"/>
            </w:tcBorders>
            <w:vAlign w:val="center"/>
            <w:hideMark/>
          </w:tcPr>
          <w:p w14:paraId="19CF974A"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000000"/>
              <w:right w:val="single" w:sz="4" w:space="0" w:color="auto"/>
            </w:tcBorders>
            <w:vAlign w:val="center"/>
            <w:hideMark/>
          </w:tcPr>
          <w:p w14:paraId="4BEBA38F"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29EE8F33"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3FF860BC"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36A3D188"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45AA21F4"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2AE5556C"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000000"/>
              <w:right w:val="single" w:sz="4" w:space="0" w:color="auto"/>
            </w:tcBorders>
            <w:vAlign w:val="center"/>
            <w:hideMark/>
          </w:tcPr>
          <w:p w14:paraId="3B0AEA86"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2CD3EBCD" w14:textId="77777777" w:rsidR="00761440" w:rsidRPr="000C6E07" w:rsidRDefault="00761440" w:rsidP="00761440">
            <w:pPr>
              <w:spacing w:after="0"/>
              <w:rPr>
                <w:rFonts w:eastAsia="Times New Roman" w:cs="Times New Roman"/>
                <w:color w:val="000000"/>
                <w:sz w:val="20"/>
                <w:szCs w:val="20"/>
                <w:lang w:val="ro-RO"/>
                <w14:ligatures w14:val="none"/>
              </w:rPr>
            </w:pPr>
          </w:p>
        </w:tc>
      </w:tr>
      <w:tr w:rsidR="00761440" w:rsidRPr="000C6E07" w14:paraId="1E0B34FB" w14:textId="77777777" w:rsidTr="004356CF">
        <w:trPr>
          <w:trHeight w:val="1560"/>
        </w:trPr>
        <w:tc>
          <w:tcPr>
            <w:tcW w:w="568" w:type="dxa"/>
            <w:vMerge/>
            <w:tcBorders>
              <w:top w:val="nil"/>
              <w:left w:val="single" w:sz="4" w:space="0" w:color="auto"/>
              <w:bottom w:val="single" w:sz="4" w:space="0" w:color="auto"/>
              <w:right w:val="single" w:sz="4" w:space="0" w:color="auto"/>
            </w:tcBorders>
            <w:hideMark/>
          </w:tcPr>
          <w:p w14:paraId="69B58730"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410196C"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8AC2E0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Activități improprii eliminate din practică</w:t>
            </w:r>
          </w:p>
        </w:tc>
        <w:tc>
          <w:tcPr>
            <w:tcW w:w="1026" w:type="dxa"/>
            <w:tcBorders>
              <w:top w:val="nil"/>
              <w:left w:val="nil"/>
              <w:bottom w:val="single" w:sz="4" w:space="0" w:color="auto"/>
              <w:right w:val="single" w:sz="4" w:space="0" w:color="auto"/>
            </w:tcBorders>
            <w:vAlign w:val="center"/>
            <w:hideMark/>
          </w:tcPr>
          <w:p w14:paraId="706ED50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Vor fi evaluate ca urmare a aprobării raportului</w:t>
            </w:r>
          </w:p>
        </w:tc>
        <w:tc>
          <w:tcPr>
            <w:tcW w:w="1100" w:type="dxa"/>
            <w:tcBorders>
              <w:top w:val="nil"/>
              <w:left w:val="nil"/>
              <w:bottom w:val="single" w:sz="4" w:space="0" w:color="auto"/>
              <w:right w:val="single" w:sz="4" w:space="0" w:color="auto"/>
            </w:tcBorders>
            <w:vAlign w:val="center"/>
            <w:hideMark/>
          </w:tcPr>
          <w:p w14:paraId="66EF4B8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0530655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CAB728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5F37F51" w14:textId="2CABC1A1" w:rsidR="00BF592D" w:rsidRDefault="00BF592D"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p w14:paraId="48563F73" w14:textId="4F938E0D" w:rsidR="00761440" w:rsidRPr="000C6E07" w:rsidRDefault="00761440" w:rsidP="00761440">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2FCCE96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323115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5C6F1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C1FED8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E811C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4FF194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2030</w:t>
            </w:r>
          </w:p>
        </w:tc>
        <w:tc>
          <w:tcPr>
            <w:tcW w:w="1162" w:type="dxa"/>
            <w:tcBorders>
              <w:top w:val="nil"/>
              <w:left w:val="nil"/>
              <w:bottom w:val="single" w:sz="4" w:space="0" w:color="auto"/>
              <w:right w:val="single" w:sz="4" w:space="0" w:color="auto"/>
            </w:tcBorders>
            <w:vAlign w:val="center"/>
            <w:hideMark/>
          </w:tcPr>
          <w:p w14:paraId="5979505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autoritățile vizate în raport</w:t>
            </w:r>
          </w:p>
        </w:tc>
      </w:tr>
      <w:tr w:rsidR="00761440" w:rsidRPr="000C6E07" w14:paraId="32AD611D"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2EFC36D5" w14:textId="0EB6406D"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CD06552"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Uniformizarea procedurilor standard de operare (în continuare – </w:t>
            </w:r>
            <w:r w:rsidRPr="000C6E07">
              <w:rPr>
                <w:rFonts w:eastAsia="Times New Roman" w:cs="Times New Roman"/>
                <w:i/>
                <w:iCs/>
                <w:color w:val="000000"/>
                <w:sz w:val="20"/>
                <w:szCs w:val="20"/>
                <w:lang w:val="ro-RO"/>
                <w14:ligatures w14:val="none"/>
              </w:rPr>
              <w:t>PSO</w:t>
            </w:r>
            <w:r w:rsidRPr="000C6E07">
              <w:rPr>
                <w:rFonts w:eastAsia="Times New Roman" w:cs="Times New Roman"/>
                <w:color w:val="000000"/>
                <w:sz w:val="20"/>
                <w:szCs w:val="20"/>
                <w:lang w:val="ro-RO"/>
                <w14:ligatures w14:val="none"/>
              </w:rPr>
              <w:t>) în domeniul patrulării și reacționării</w:t>
            </w:r>
          </w:p>
        </w:tc>
        <w:tc>
          <w:tcPr>
            <w:tcW w:w="1843" w:type="dxa"/>
            <w:tcBorders>
              <w:top w:val="nil"/>
              <w:left w:val="nil"/>
              <w:bottom w:val="single" w:sz="4" w:space="0" w:color="auto"/>
              <w:right w:val="single" w:sz="4" w:space="0" w:color="auto"/>
            </w:tcBorders>
            <w:vAlign w:val="center"/>
            <w:hideMark/>
          </w:tcPr>
          <w:p w14:paraId="01CBA96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Instrucțiuni de patrulare și reacționare elaborate și aprobate pentru toate subdiviziunile</w:t>
            </w:r>
          </w:p>
        </w:tc>
        <w:tc>
          <w:tcPr>
            <w:tcW w:w="1026" w:type="dxa"/>
            <w:tcBorders>
              <w:top w:val="nil"/>
              <w:left w:val="nil"/>
              <w:bottom w:val="single" w:sz="4" w:space="0" w:color="auto"/>
              <w:right w:val="single" w:sz="4" w:space="0" w:color="auto"/>
            </w:tcBorders>
            <w:vAlign w:val="center"/>
            <w:hideMark/>
          </w:tcPr>
          <w:p w14:paraId="7D2E60C7"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703,8</w:t>
            </w:r>
          </w:p>
        </w:tc>
        <w:tc>
          <w:tcPr>
            <w:tcW w:w="1100" w:type="dxa"/>
            <w:tcBorders>
              <w:top w:val="nil"/>
              <w:left w:val="nil"/>
              <w:bottom w:val="single" w:sz="4" w:space="0" w:color="auto"/>
              <w:right w:val="single" w:sz="4" w:space="0" w:color="auto"/>
            </w:tcBorders>
            <w:vAlign w:val="center"/>
            <w:hideMark/>
          </w:tcPr>
          <w:p w14:paraId="7743B15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703,8</w:t>
            </w:r>
          </w:p>
        </w:tc>
        <w:tc>
          <w:tcPr>
            <w:tcW w:w="1015" w:type="dxa"/>
            <w:tcBorders>
              <w:top w:val="nil"/>
              <w:left w:val="nil"/>
              <w:bottom w:val="single" w:sz="4" w:space="0" w:color="auto"/>
              <w:right w:val="single" w:sz="4" w:space="0" w:color="auto"/>
            </w:tcBorders>
            <w:vAlign w:val="center"/>
            <w:hideMark/>
          </w:tcPr>
          <w:p w14:paraId="7AF87CD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9D9997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BE18350" w14:textId="4096FE2E" w:rsidR="00BF592D" w:rsidRPr="000C6E07" w:rsidRDefault="00BF592D"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35774B1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C8764B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351,9</w:t>
            </w:r>
          </w:p>
        </w:tc>
        <w:tc>
          <w:tcPr>
            <w:tcW w:w="1000" w:type="dxa"/>
            <w:tcBorders>
              <w:top w:val="nil"/>
              <w:left w:val="nil"/>
              <w:bottom w:val="single" w:sz="4" w:space="0" w:color="auto"/>
              <w:right w:val="single" w:sz="4" w:space="0" w:color="auto"/>
            </w:tcBorders>
            <w:vAlign w:val="center"/>
            <w:hideMark/>
          </w:tcPr>
          <w:p w14:paraId="31300B16"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351,9</w:t>
            </w:r>
          </w:p>
        </w:tc>
        <w:tc>
          <w:tcPr>
            <w:tcW w:w="1000" w:type="dxa"/>
            <w:tcBorders>
              <w:top w:val="nil"/>
              <w:left w:val="nil"/>
              <w:bottom w:val="single" w:sz="4" w:space="0" w:color="auto"/>
              <w:right w:val="single" w:sz="4" w:space="0" w:color="auto"/>
            </w:tcBorders>
            <w:vAlign w:val="center"/>
            <w:hideMark/>
          </w:tcPr>
          <w:p w14:paraId="1B262AD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245C6B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9E4D05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val="restart"/>
            <w:tcBorders>
              <w:top w:val="nil"/>
              <w:left w:val="single" w:sz="4" w:space="0" w:color="auto"/>
              <w:bottom w:val="single" w:sz="4" w:space="0" w:color="000000"/>
              <w:right w:val="single" w:sz="4" w:space="0" w:color="auto"/>
            </w:tcBorders>
            <w:vAlign w:val="center"/>
            <w:hideMark/>
          </w:tcPr>
          <w:p w14:paraId="0A1A6BF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0C6E07">
              <w:rPr>
                <w:rFonts w:eastAsia="Times New Roman" w:cs="Times New Roman"/>
                <w:color w:val="000000"/>
                <w:sz w:val="20"/>
                <w:szCs w:val="20"/>
                <w:lang w:val="ro-RO"/>
                <w14:ligatures w14:val="none"/>
              </w:rPr>
              <w:br/>
              <w:t>Asociația Femeilor din Poliție</w:t>
            </w:r>
          </w:p>
        </w:tc>
      </w:tr>
      <w:tr w:rsidR="00761440" w:rsidRPr="000C6E07" w14:paraId="3962EB17"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407362B6"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59EBD68"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5D4F7B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Manualul PSO pentru activitatea de ordine și securitate publică editat și distribuit</w:t>
            </w:r>
          </w:p>
        </w:tc>
        <w:tc>
          <w:tcPr>
            <w:tcW w:w="1026" w:type="dxa"/>
            <w:tcBorders>
              <w:top w:val="nil"/>
              <w:left w:val="nil"/>
              <w:bottom w:val="single" w:sz="4" w:space="0" w:color="auto"/>
              <w:right w:val="single" w:sz="4" w:space="0" w:color="auto"/>
            </w:tcBorders>
            <w:vAlign w:val="center"/>
            <w:hideMark/>
          </w:tcPr>
          <w:p w14:paraId="66307635"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189,1</w:t>
            </w:r>
          </w:p>
        </w:tc>
        <w:tc>
          <w:tcPr>
            <w:tcW w:w="1100" w:type="dxa"/>
            <w:tcBorders>
              <w:top w:val="nil"/>
              <w:left w:val="nil"/>
              <w:bottom w:val="single" w:sz="4" w:space="0" w:color="auto"/>
              <w:right w:val="single" w:sz="4" w:space="0" w:color="auto"/>
            </w:tcBorders>
            <w:vAlign w:val="center"/>
            <w:hideMark/>
          </w:tcPr>
          <w:p w14:paraId="6C33AEB6"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189,1</w:t>
            </w:r>
          </w:p>
        </w:tc>
        <w:tc>
          <w:tcPr>
            <w:tcW w:w="1015" w:type="dxa"/>
            <w:tcBorders>
              <w:top w:val="nil"/>
              <w:left w:val="nil"/>
              <w:bottom w:val="single" w:sz="4" w:space="0" w:color="auto"/>
              <w:right w:val="single" w:sz="4" w:space="0" w:color="auto"/>
            </w:tcBorders>
            <w:vAlign w:val="center"/>
            <w:hideMark/>
          </w:tcPr>
          <w:p w14:paraId="15C265B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DC40E9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570A826" w14:textId="146B641E" w:rsidR="00BF592D" w:rsidRPr="000C6E07" w:rsidRDefault="00BF592D"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0DEF85DC"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38EF0A6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56F2E8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596083"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189,1</w:t>
            </w:r>
          </w:p>
        </w:tc>
        <w:tc>
          <w:tcPr>
            <w:tcW w:w="1000" w:type="dxa"/>
            <w:tcBorders>
              <w:top w:val="nil"/>
              <w:left w:val="nil"/>
              <w:bottom w:val="single" w:sz="4" w:space="0" w:color="auto"/>
              <w:right w:val="single" w:sz="4" w:space="0" w:color="auto"/>
            </w:tcBorders>
            <w:vAlign w:val="center"/>
            <w:hideMark/>
          </w:tcPr>
          <w:p w14:paraId="60D86F8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A3AB9F9" w14:textId="77777777" w:rsidR="00761440" w:rsidRPr="000C6E07" w:rsidRDefault="00761440" w:rsidP="00761440">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Trimestrul IV, 2029</w:t>
            </w:r>
          </w:p>
        </w:tc>
        <w:tc>
          <w:tcPr>
            <w:tcW w:w="1162" w:type="dxa"/>
            <w:vMerge/>
            <w:tcBorders>
              <w:top w:val="nil"/>
              <w:left w:val="single" w:sz="4" w:space="0" w:color="auto"/>
              <w:bottom w:val="single" w:sz="4" w:space="0" w:color="000000"/>
              <w:right w:val="single" w:sz="4" w:space="0" w:color="auto"/>
            </w:tcBorders>
            <w:vAlign w:val="center"/>
            <w:hideMark/>
          </w:tcPr>
          <w:p w14:paraId="69FD66F0" w14:textId="77777777" w:rsidR="00761440" w:rsidRPr="000C6E07" w:rsidRDefault="00761440" w:rsidP="00761440">
            <w:pPr>
              <w:spacing w:after="0"/>
              <w:rPr>
                <w:rFonts w:eastAsia="Times New Roman" w:cs="Times New Roman"/>
                <w:color w:val="000000"/>
                <w:sz w:val="20"/>
                <w:szCs w:val="20"/>
                <w:lang w:val="ro-RO"/>
                <w14:ligatures w14:val="none"/>
              </w:rPr>
            </w:pPr>
          </w:p>
        </w:tc>
      </w:tr>
      <w:tr w:rsidR="00761440" w:rsidRPr="000C6E07" w14:paraId="0E1F150E"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22E1AC65" w14:textId="6EBDBB2B"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69F6CC4"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Dezvoltarea și implementarea Conceptului </w:t>
            </w:r>
            <w:proofErr w:type="spellStart"/>
            <w:r w:rsidRPr="000C6E07">
              <w:rPr>
                <w:rFonts w:eastAsia="Times New Roman" w:cs="Times New Roman"/>
                <w:i/>
                <w:iCs/>
                <w:color w:val="000000"/>
                <w:sz w:val="20"/>
                <w:szCs w:val="20"/>
                <w:lang w:val="ro-RO"/>
                <w14:ligatures w14:val="none"/>
              </w:rPr>
              <w:t>Police</w:t>
            </w:r>
            <w:proofErr w:type="spellEnd"/>
            <w:r w:rsidRPr="000C6E07">
              <w:rPr>
                <w:rFonts w:eastAsia="Times New Roman" w:cs="Times New Roman"/>
                <w:i/>
                <w:iCs/>
                <w:color w:val="000000"/>
                <w:sz w:val="20"/>
                <w:szCs w:val="20"/>
                <w:lang w:val="ro-RO"/>
                <w14:ligatures w14:val="none"/>
              </w:rPr>
              <w:t xml:space="preserve"> </w:t>
            </w:r>
            <w:proofErr w:type="spellStart"/>
            <w:r w:rsidRPr="000C6E07">
              <w:rPr>
                <w:rFonts w:eastAsia="Times New Roman" w:cs="Times New Roman"/>
                <w:i/>
                <w:iCs/>
                <w:color w:val="000000"/>
                <w:sz w:val="20"/>
                <w:szCs w:val="20"/>
                <w:lang w:val="ro-RO"/>
                <w14:ligatures w14:val="none"/>
              </w:rPr>
              <w:t>Intelligent</w:t>
            </w:r>
            <w:proofErr w:type="spellEnd"/>
            <w:r w:rsidRPr="000C6E07">
              <w:rPr>
                <w:rFonts w:eastAsia="Times New Roman" w:cs="Times New Roman"/>
                <w:i/>
                <w:iCs/>
                <w:color w:val="000000"/>
                <w:sz w:val="20"/>
                <w:szCs w:val="20"/>
                <w:lang w:val="ro-RO"/>
                <w14:ligatures w14:val="none"/>
              </w:rPr>
              <w:t xml:space="preserve"> Car </w:t>
            </w:r>
            <w:r w:rsidRPr="000C6E07">
              <w:rPr>
                <w:rFonts w:eastAsia="Times New Roman" w:cs="Times New Roman"/>
                <w:color w:val="000000"/>
                <w:sz w:val="20"/>
                <w:szCs w:val="20"/>
                <w:lang w:val="ro-RO"/>
                <w14:ligatures w14:val="none"/>
              </w:rPr>
              <w:t>(Mașină inteligentă de poliție)</w:t>
            </w:r>
          </w:p>
        </w:tc>
        <w:tc>
          <w:tcPr>
            <w:tcW w:w="1843" w:type="dxa"/>
            <w:tcBorders>
              <w:top w:val="nil"/>
              <w:left w:val="nil"/>
              <w:bottom w:val="single" w:sz="4" w:space="0" w:color="auto"/>
              <w:right w:val="single" w:sz="4" w:space="0" w:color="auto"/>
            </w:tcBorders>
            <w:vAlign w:val="center"/>
            <w:hideMark/>
          </w:tcPr>
          <w:p w14:paraId="6D1C7F6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Principiile de activitate conform modelului operațional de activitate </w:t>
            </w:r>
            <w:proofErr w:type="spellStart"/>
            <w:r w:rsidRPr="000C6E07">
              <w:rPr>
                <w:rFonts w:eastAsia="Times New Roman" w:cs="Times New Roman"/>
                <w:i/>
                <w:iCs/>
                <w:color w:val="000000"/>
                <w:sz w:val="20"/>
                <w:szCs w:val="20"/>
                <w:lang w:val="ro-RO"/>
                <w14:ligatures w14:val="none"/>
              </w:rPr>
              <w:t>Police</w:t>
            </w:r>
            <w:proofErr w:type="spellEnd"/>
            <w:r w:rsidRPr="000C6E07">
              <w:rPr>
                <w:rFonts w:eastAsia="Times New Roman" w:cs="Times New Roman"/>
                <w:i/>
                <w:iCs/>
                <w:color w:val="000000"/>
                <w:sz w:val="20"/>
                <w:szCs w:val="20"/>
                <w:lang w:val="ro-RO"/>
                <w14:ligatures w14:val="none"/>
              </w:rPr>
              <w:t xml:space="preserve"> </w:t>
            </w:r>
            <w:proofErr w:type="spellStart"/>
            <w:r w:rsidRPr="000C6E07">
              <w:rPr>
                <w:rFonts w:eastAsia="Times New Roman" w:cs="Times New Roman"/>
                <w:i/>
                <w:iCs/>
                <w:color w:val="000000"/>
                <w:sz w:val="20"/>
                <w:szCs w:val="20"/>
                <w:lang w:val="ro-RO"/>
                <w14:ligatures w14:val="none"/>
              </w:rPr>
              <w:t>Intelligent</w:t>
            </w:r>
            <w:proofErr w:type="spellEnd"/>
            <w:r w:rsidRPr="000C6E07">
              <w:rPr>
                <w:rFonts w:eastAsia="Times New Roman" w:cs="Times New Roman"/>
                <w:i/>
                <w:iCs/>
                <w:color w:val="000000"/>
                <w:sz w:val="20"/>
                <w:szCs w:val="20"/>
                <w:lang w:val="ro-RO"/>
                <w14:ligatures w14:val="none"/>
              </w:rPr>
              <w:t xml:space="preserve"> Car</w:t>
            </w:r>
            <w:r w:rsidRPr="000C6E07">
              <w:rPr>
                <w:rFonts w:eastAsia="Times New Roman" w:cs="Times New Roman"/>
                <w:color w:val="000000"/>
                <w:sz w:val="20"/>
                <w:szCs w:val="20"/>
                <w:lang w:val="ro-RO"/>
                <w14:ligatures w14:val="none"/>
              </w:rPr>
              <w:t xml:space="preserve"> aprobate și implementate</w:t>
            </w:r>
          </w:p>
        </w:tc>
        <w:tc>
          <w:tcPr>
            <w:tcW w:w="1026" w:type="dxa"/>
            <w:tcBorders>
              <w:top w:val="nil"/>
              <w:left w:val="nil"/>
              <w:bottom w:val="single" w:sz="4" w:space="0" w:color="auto"/>
              <w:right w:val="single" w:sz="4" w:space="0" w:color="auto"/>
            </w:tcBorders>
            <w:vAlign w:val="center"/>
            <w:hideMark/>
          </w:tcPr>
          <w:p w14:paraId="794FA6D1"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117,3</w:t>
            </w:r>
          </w:p>
        </w:tc>
        <w:tc>
          <w:tcPr>
            <w:tcW w:w="1100" w:type="dxa"/>
            <w:tcBorders>
              <w:top w:val="nil"/>
              <w:left w:val="nil"/>
              <w:bottom w:val="single" w:sz="4" w:space="0" w:color="auto"/>
              <w:right w:val="single" w:sz="4" w:space="0" w:color="auto"/>
            </w:tcBorders>
            <w:vAlign w:val="center"/>
            <w:hideMark/>
          </w:tcPr>
          <w:p w14:paraId="7FBFA66B"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117,3</w:t>
            </w:r>
          </w:p>
        </w:tc>
        <w:tc>
          <w:tcPr>
            <w:tcW w:w="1015" w:type="dxa"/>
            <w:tcBorders>
              <w:top w:val="nil"/>
              <w:left w:val="nil"/>
              <w:bottom w:val="single" w:sz="4" w:space="0" w:color="auto"/>
              <w:right w:val="single" w:sz="4" w:space="0" w:color="auto"/>
            </w:tcBorders>
            <w:vAlign w:val="center"/>
            <w:hideMark/>
          </w:tcPr>
          <w:p w14:paraId="766058D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93E428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48BBF1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02F9599"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117,3</w:t>
            </w:r>
          </w:p>
        </w:tc>
        <w:tc>
          <w:tcPr>
            <w:tcW w:w="1000" w:type="dxa"/>
            <w:tcBorders>
              <w:top w:val="nil"/>
              <w:left w:val="nil"/>
              <w:bottom w:val="single" w:sz="4" w:space="0" w:color="auto"/>
              <w:right w:val="single" w:sz="4" w:space="0" w:color="auto"/>
            </w:tcBorders>
            <w:vAlign w:val="center"/>
            <w:hideMark/>
          </w:tcPr>
          <w:p w14:paraId="4C8AF52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9EBF2E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D3171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C29682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B8E879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35F4DF1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734232DE"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59776731"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4BEA9FA"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18BBA3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31 sisteme PICAR operaționale</w:t>
            </w:r>
          </w:p>
        </w:tc>
        <w:tc>
          <w:tcPr>
            <w:tcW w:w="1026" w:type="dxa"/>
            <w:tcBorders>
              <w:top w:val="nil"/>
              <w:left w:val="nil"/>
              <w:bottom w:val="single" w:sz="4" w:space="0" w:color="auto"/>
              <w:right w:val="single" w:sz="4" w:space="0" w:color="auto"/>
            </w:tcBorders>
            <w:vAlign w:val="center"/>
            <w:hideMark/>
          </w:tcPr>
          <w:p w14:paraId="58743E2D"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73.095,0</w:t>
            </w:r>
          </w:p>
        </w:tc>
        <w:tc>
          <w:tcPr>
            <w:tcW w:w="1100" w:type="dxa"/>
            <w:tcBorders>
              <w:top w:val="nil"/>
              <w:left w:val="nil"/>
              <w:bottom w:val="single" w:sz="4" w:space="0" w:color="auto"/>
              <w:right w:val="single" w:sz="4" w:space="0" w:color="auto"/>
            </w:tcBorders>
            <w:vAlign w:val="center"/>
            <w:hideMark/>
          </w:tcPr>
          <w:p w14:paraId="7E822EE4"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73.095,0</w:t>
            </w:r>
          </w:p>
        </w:tc>
        <w:tc>
          <w:tcPr>
            <w:tcW w:w="1015" w:type="dxa"/>
            <w:tcBorders>
              <w:top w:val="nil"/>
              <w:left w:val="nil"/>
              <w:bottom w:val="single" w:sz="4" w:space="0" w:color="auto"/>
              <w:right w:val="single" w:sz="4" w:space="0" w:color="auto"/>
            </w:tcBorders>
            <w:vAlign w:val="center"/>
            <w:hideMark/>
          </w:tcPr>
          <w:p w14:paraId="634DEC4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F6DEE4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75A0F9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5164910" w14:textId="77777777" w:rsidR="00761440" w:rsidRPr="000C6E07" w:rsidRDefault="00761440" w:rsidP="00761440">
            <w:pPr>
              <w:spacing w:after="0"/>
              <w:jc w:val="center"/>
              <w:rPr>
                <w:rFonts w:eastAsia="Times New Roman" w:cs="Times New Roman"/>
                <w:color w:val="0070C0"/>
                <w:sz w:val="22"/>
                <w:lang w:val="ro-RO"/>
                <w14:ligatures w14:val="none"/>
              </w:rPr>
            </w:pPr>
            <w:r w:rsidRPr="000C6E07">
              <w:rPr>
                <w:rFonts w:eastAsia="Times New Roman" w:cs="Times New Roman"/>
                <w:color w:val="0070C0"/>
                <w:sz w:val="22"/>
                <w:lang w:val="ro-RO"/>
                <w14:ligatures w14:val="none"/>
              </w:rPr>
              <w:t>73.095,0</w:t>
            </w:r>
          </w:p>
        </w:tc>
        <w:tc>
          <w:tcPr>
            <w:tcW w:w="1000" w:type="dxa"/>
            <w:tcBorders>
              <w:top w:val="nil"/>
              <w:left w:val="nil"/>
              <w:bottom w:val="single" w:sz="4" w:space="0" w:color="auto"/>
              <w:right w:val="single" w:sz="4" w:space="0" w:color="auto"/>
            </w:tcBorders>
            <w:vAlign w:val="center"/>
            <w:hideMark/>
          </w:tcPr>
          <w:p w14:paraId="52FDBFDB" w14:textId="77777777" w:rsidR="00761440" w:rsidRPr="000C6E07" w:rsidRDefault="00761440" w:rsidP="00761440">
            <w:pPr>
              <w:spacing w:after="0"/>
              <w:jc w:val="center"/>
              <w:rPr>
                <w:rFonts w:eastAsia="Times New Roman" w:cs="Times New Roman"/>
                <w:color w:val="FF0000"/>
                <w:sz w:val="20"/>
                <w:szCs w:val="20"/>
                <w:lang w:val="ro-RO"/>
                <w14:ligatures w14:val="none"/>
              </w:rPr>
            </w:pPr>
            <w:r w:rsidRPr="000C6E07">
              <w:rPr>
                <w:rFonts w:eastAsia="Times New Roman" w:cs="Times New Roman"/>
                <w:color w:val="FF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BB6149D" w14:textId="77777777" w:rsidR="00761440" w:rsidRPr="000C6E07" w:rsidRDefault="00761440" w:rsidP="00761440">
            <w:pPr>
              <w:spacing w:after="0"/>
              <w:jc w:val="center"/>
              <w:rPr>
                <w:rFonts w:eastAsia="Times New Roman" w:cs="Times New Roman"/>
                <w:color w:val="FF0000"/>
                <w:sz w:val="20"/>
                <w:szCs w:val="20"/>
                <w:lang w:val="ro-RO"/>
                <w14:ligatures w14:val="none"/>
              </w:rPr>
            </w:pPr>
            <w:r w:rsidRPr="000C6E07">
              <w:rPr>
                <w:rFonts w:eastAsia="Times New Roman" w:cs="Times New Roman"/>
                <w:color w:val="FF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341C5F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D557DF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3CE144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73ED577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53884645"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4DA6748B"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5D1E91E"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0E8D799" w14:textId="563EF270" w:rsidR="00761440" w:rsidRPr="000C6E07" w:rsidRDefault="00761440" w:rsidP="00761440">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Timp de documentare a cetățenilor pe partea </w:t>
            </w:r>
            <w:r w:rsidR="00394479" w:rsidRPr="000C6E07">
              <w:rPr>
                <w:rFonts w:eastAsia="Times New Roman" w:cs="Times New Roman"/>
                <w:sz w:val="20"/>
                <w:szCs w:val="20"/>
                <w:lang w:val="ro-RO"/>
                <w14:ligatures w14:val="none"/>
              </w:rPr>
              <w:t>contravențională</w:t>
            </w:r>
            <w:r w:rsidRPr="000C6E07">
              <w:rPr>
                <w:rFonts w:eastAsia="Times New Roman" w:cs="Times New Roman"/>
                <w:sz w:val="20"/>
                <w:szCs w:val="20"/>
                <w:lang w:val="ro-RO"/>
                <w14:ligatures w14:val="none"/>
              </w:rPr>
              <w:t xml:space="preserve"> menținut sub 10 minute</w:t>
            </w:r>
          </w:p>
        </w:tc>
        <w:tc>
          <w:tcPr>
            <w:tcW w:w="1026" w:type="dxa"/>
            <w:tcBorders>
              <w:top w:val="nil"/>
              <w:left w:val="nil"/>
              <w:bottom w:val="single" w:sz="4" w:space="0" w:color="auto"/>
              <w:right w:val="single" w:sz="4" w:space="0" w:color="auto"/>
            </w:tcBorders>
            <w:vAlign w:val="center"/>
            <w:hideMark/>
          </w:tcPr>
          <w:p w14:paraId="5FA3EF2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2F1AC4E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3101611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CF64A2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F88A19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7AC511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8AF7F0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FA9E93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463E3F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2DCC3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300C82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600C50E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4496DA66" w14:textId="77777777" w:rsidTr="00A050B1">
        <w:trPr>
          <w:trHeight w:val="520"/>
        </w:trPr>
        <w:tc>
          <w:tcPr>
            <w:tcW w:w="568" w:type="dxa"/>
            <w:vMerge w:val="restart"/>
            <w:tcBorders>
              <w:top w:val="nil"/>
              <w:left w:val="single" w:sz="4" w:space="0" w:color="auto"/>
              <w:bottom w:val="single" w:sz="4" w:space="0" w:color="auto"/>
              <w:right w:val="single" w:sz="4" w:space="0" w:color="auto"/>
            </w:tcBorders>
            <w:hideMark/>
          </w:tcPr>
          <w:p w14:paraId="2DFCA02E" w14:textId="70F8AA4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F99D9C1" w14:textId="711E9D49" w:rsidR="00430E3B"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Digitalizarea activității echipelor de intervenție ale IGP și IGC</w:t>
            </w:r>
            <w:r w:rsidR="00410417">
              <w:rPr>
                <w:rFonts w:eastAsia="Times New Roman" w:cs="Times New Roman"/>
                <w:color w:val="000000"/>
                <w:sz w:val="20"/>
                <w:szCs w:val="20"/>
                <w:lang w:val="ro-RO"/>
                <w14:ligatures w14:val="none"/>
              </w:rPr>
              <w:t xml:space="preserve">, </w:t>
            </w:r>
            <w:r w:rsidR="00410417" w:rsidRPr="00D87D85">
              <w:rPr>
                <w:rFonts w:eastAsia="Times New Roman" w:cs="Times New Roman"/>
                <w:color w:val="000000"/>
                <w:sz w:val="20"/>
                <w:szCs w:val="20"/>
                <w:lang w:val="ro-RO"/>
                <w14:ligatures w14:val="none"/>
              </w:rPr>
              <w:t xml:space="preserve">care include echipamente </w:t>
            </w:r>
            <w:proofErr w:type="spellStart"/>
            <w:r w:rsidR="00410417" w:rsidRPr="00D87D85">
              <w:rPr>
                <w:rFonts w:eastAsia="Times New Roman" w:cs="Times New Roman"/>
                <w:color w:val="000000"/>
                <w:sz w:val="20"/>
                <w:szCs w:val="20"/>
                <w:lang w:val="ro-RO"/>
                <w14:ligatures w14:val="none"/>
              </w:rPr>
              <w:t>End-Poin</w:t>
            </w:r>
            <w:proofErr w:type="spellEnd"/>
          </w:p>
        </w:tc>
        <w:tc>
          <w:tcPr>
            <w:tcW w:w="1843" w:type="dxa"/>
            <w:tcBorders>
              <w:top w:val="nil"/>
              <w:left w:val="nil"/>
              <w:bottom w:val="single" w:sz="4" w:space="0" w:color="auto"/>
              <w:right w:val="single" w:sz="4" w:space="0" w:color="auto"/>
            </w:tcBorders>
            <w:vAlign w:val="center"/>
            <w:hideMark/>
          </w:tcPr>
          <w:p w14:paraId="5C43A12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minim 50 echipe IGC dotate </w:t>
            </w:r>
          </w:p>
        </w:tc>
        <w:tc>
          <w:tcPr>
            <w:tcW w:w="1026" w:type="dxa"/>
            <w:tcBorders>
              <w:top w:val="nil"/>
              <w:left w:val="nil"/>
              <w:bottom w:val="single" w:sz="4" w:space="0" w:color="auto"/>
              <w:right w:val="single" w:sz="4" w:space="0" w:color="auto"/>
            </w:tcBorders>
            <w:vAlign w:val="center"/>
            <w:hideMark/>
          </w:tcPr>
          <w:p w14:paraId="298AE995" w14:textId="77777777" w:rsidR="00761440" w:rsidRPr="00A050B1" w:rsidRDefault="00761440" w:rsidP="00761440">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2.000,0</w:t>
            </w:r>
          </w:p>
        </w:tc>
        <w:tc>
          <w:tcPr>
            <w:tcW w:w="1100" w:type="dxa"/>
            <w:tcBorders>
              <w:top w:val="nil"/>
              <w:left w:val="nil"/>
              <w:bottom w:val="single" w:sz="4" w:space="0" w:color="auto"/>
              <w:right w:val="single" w:sz="4" w:space="0" w:color="auto"/>
            </w:tcBorders>
            <w:vAlign w:val="center"/>
            <w:hideMark/>
          </w:tcPr>
          <w:p w14:paraId="512FAF60" w14:textId="77777777" w:rsidR="00761440" w:rsidRPr="00A050B1" w:rsidRDefault="00761440" w:rsidP="00761440">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2.000,0</w:t>
            </w:r>
          </w:p>
        </w:tc>
        <w:tc>
          <w:tcPr>
            <w:tcW w:w="1015" w:type="dxa"/>
            <w:tcBorders>
              <w:top w:val="nil"/>
              <w:left w:val="nil"/>
              <w:bottom w:val="single" w:sz="4" w:space="0" w:color="auto"/>
              <w:right w:val="single" w:sz="4" w:space="0" w:color="auto"/>
            </w:tcBorders>
            <w:vAlign w:val="center"/>
            <w:hideMark/>
          </w:tcPr>
          <w:p w14:paraId="2D67E332" w14:textId="77777777" w:rsidR="00761440" w:rsidRPr="00A050B1" w:rsidRDefault="00761440"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583CF88" w14:textId="77777777" w:rsidR="00761440" w:rsidRPr="00A050B1" w:rsidRDefault="00761440"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CBD4A22" w14:textId="77777777" w:rsidR="00761440" w:rsidRPr="00A050B1" w:rsidRDefault="00761440"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4D1B6E4" w14:textId="77777777" w:rsidR="00761440" w:rsidRPr="00A050B1" w:rsidRDefault="00761440"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C62400A" w14:textId="77777777" w:rsidR="00761440" w:rsidRPr="00A050B1" w:rsidRDefault="00761440"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03F992C" w14:textId="77777777" w:rsidR="00761440" w:rsidRPr="00A050B1" w:rsidRDefault="00761440" w:rsidP="00761440">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1.000,0</w:t>
            </w:r>
          </w:p>
        </w:tc>
        <w:tc>
          <w:tcPr>
            <w:tcW w:w="1000" w:type="dxa"/>
            <w:tcBorders>
              <w:top w:val="nil"/>
              <w:left w:val="nil"/>
              <w:bottom w:val="single" w:sz="4" w:space="0" w:color="auto"/>
              <w:right w:val="single" w:sz="4" w:space="0" w:color="auto"/>
            </w:tcBorders>
            <w:vAlign w:val="center"/>
            <w:hideMark/>
          </w:tcPr>
          <w:p w14:paraId="32E40926" w14:textId="77777777" w:rsidR="00761440" w:rsidRPr="00A050B1" w:rsidRDefault="00761440" w:rsidP="00761440">
            <w:pPr>
              <w:spacing w:after="0"/>
              <w:jc w:val="center"/>
              <w:rPr>
                <w:rFonts w:eastAsia="Times New Roman" w:cs="Times New Roman"/>
                <w:color w:val="0070C0"/>
                <w:sz w:val="20"/>
                <w:szCs w:val="20"/>
                <w:lang w:val="ro-RO"/>
                <w14:ligatures w14:val="none"/>
              </w:rPr>
            </w:pPr>
            <w:r w:rsidRPr="00A050B1">
              <w:rPr>
                <w:rFonts w:eastAsia="Times New Roman" w:cs="Times New Roman"/>
                <w:color w:val="0070C0"/>
                <w:sz w:val="20"/>
                <w:szCs w:val="20"/>
                <w:lang w:val="ro-RO"/>
                <w14:ligatures w14:val="none"/>
              </w:rPr>
              <w:t>1.000,0</w:t>
            </w:r>
          </w:p>
        </w:tc>
        <w:tc>
          <w:tcPr>
            <w:tcW w:w="1000" w:type="dxa"/>
            <w:tcBorders>
              <w:top w:val="nil"/>
              <w:left w:val="nil"/>
              <w:bottom w:val="single" w:sz="4" w:space="0" w:color="auto"/>
              <w:right w:val="single" w:sz="4" w:space="0" w:color="auto"/>
            </w:tcBorders>
            <w:vAlign w:val="center"/>
            <w:hideMark/>
          </w:tcPr>
          <w:p w14:paraId="713FBA50" w14:textId="77777777" w:rsidR="00761440" w:rsidRPr="00A050B1" w:rsidRDefault="00761440"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4DB822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val="restart"/>
            <w:tcBorders>
              <w:top w:val="nil"/>
              <w:left w:val="single" w:sz="4" w:space="0" w:color="auto"/>
              <w:bottom w:val="single" w:sz="4" w:space="0" w:color="auto"/>
              <w:right w:val="single" w:sz="4" w:space="0" w:color="auto"/>
            </w:tcBorders>
            <w:vAlign w:val="center"/>
            <w:hideMark/>
          </w:tcPr>
          <w:p w14:paraId="03393E7A" w14:textId="7777777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00410417">
              <w:rPr>
                <w:rFonts w:eastAsia="Times New Roman" w:cs="Times New Roman"/>
                <w:color w:val="000000"/>
                <w:sz w:val="20"/>
                <w:szCs w:val="20"/>
                <w:lang w:val="ro-RO"/>
                <w14:ligatures w14:val="none"/>
              </w:rPr>
              <w:t>;</w:t>
            </w:r>
          </w:p>
          <w:p w14:paraId="641CEC01" w14:textId="01386C39" w:rsidR="00410417" w:rsidRPr="000C6E07" w:rsidRDefault="00410417"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UNDP</w:t>
            </w:r>
          </w:p>
        </w:tc>
      </w:tr>
      <w:tr w:rsidR="00761440" w:rsidRPr="000C6E07" w14:paraId="707B742A" w14:textId="77777777" w:rsidTr="00BA5CC8">
        <w:trPr>
          <w:trHeight w:val="520"/>
        </w:trPr>
        <w:tc>
          <w:tcPr>
            <w:tcW w:w="568" w:type="dxa"/>
            <w:vMerge/>
            <w:tcBorders>
              <w:top w:val="nil"/>
              <w:left w:val="single" w:sz="4" w:space="0" w:color="auto"/>
              <w:bottom w:val="single" w:sz="4" w:space="0" w:color="auto"/>
              <w:right w:val="single" w:sz="4" w:space="0" w:color="auto"/>
            </w:tcBorders>
            <w:hideMark/>
          </w:tcPr>
          <w:p w14:paraId="6A455471"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0C567A5"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025CA5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minim 250 echipe IGP dotate </w:t>
            </w:r>
          </w:p>
        </w:tc>
        <w:tc>
          <w:tcPr>
            <w:tcW w:w="1026" w:type="dxa"/>
            <w:tcBorders>
              <w:top w:val="nil"/>
              <w:left w:val="nil"/>
              <w:bottom w:val="single" w:sz="4" w:space="0" w:color="auto"/>
              <w:right w:val="single" w:sz="4" w:space="0" w:color="auto"/>
            </w:tcBorders>
            <w:vAlign w:val="center"/>
            <w:hideMark/>
          </w:tcPr>
          <w:p w14:paraId="34CFEADC" w14:textId="3AFC744F" w:rsidR="00761440" w:rsidRPr="000C6E07" w:rsidRDefault="00761440" w:rsidP="00761440">
            <w:pPr>
              <w:spacing w:after="0"/>
              <w:jc w:val="center"/>
              <w:rPr>
                <w:rFonts w:eastAsia="Times New Roman" w:cs="Times New Roman"/>
                <w:color w:val="0070C0"/>
                <w:sz w:val="20"/>
                <w:szCs w:val="20"/>
                <w:lang w:val="ro-RO"/>
                <w14:ligatures w14:val="none"/>
              </w:rPr>
            </w:pPr>
            <w:r>
              <w:rPr>
                <w:color w:val="0070C0"/>
                <w:sz w:val="20"/>
                <w:szCs w:val="20"/>
              </w:rPr>
              <w:t>16.500,0</w:t>
            </w:r>
          </w:p>
        </w:tc>
        <w:tc>
          <w:tcPr>
            <w:tcW w:w="1100" w:type="dxa"/>
            <w:tcBorders>
              <w:top w:val="nil"/>
              <w:left w:val="nil"/>
              <w:bottom w:val="single" w:sz="4" w:space="0" w:color="auto"/>
              <w:right w:val="single" w:sz="4" w:space="0" w:color="auto"/>
            </w:tcBorders>
            <w:vAlign w:val="center"/>
            <w:hideMark/>
          </w:tcPr>
          <w:p w14:paraId="2771BFF2" w14:textId="59963501" w:rsidR="00761440" w:rsidRPr="000C6E07" w:rsidRDefault="00761440" w:rsidP="00761440">
            <w:pPr>
              <w:spacing w:after="0"/>
              <w:jc w:val="center"/>
              <w:rPr>
                <w:rFonts w:eastAsia="Times New Roman" w:cs="Times New Roman"/>
                <w:color w:val="0070C0"/>
                <w:sz w:val="20"/>
                <w:szCs w:val="20"/>
                <w:lang w:val="ro-RO"/>
                <w14:ligatures w14:val="none"/>
              </w:rPr>
            </w:pPr>
            <w:r>
              <w:rPr>
                <w:color w:val="0070C0"/>
                <w:sz w:val="20"/>
                <w:szCs w:val="20"/>
              </w:rPr>
              <w:t>12.342,0</w:t>
            </w:r>
          </w:p>
        </w:tc>
        <w:tc>
          <w:tcPr>
            <w:tcW w:w="1015" w:type="dxa"/>
            <w:tcBorders>
              <w:top w:val="nil"/>
              <w:left w:val="nil"/>
              <w:bottom w:val="single" w:sz="4" w:space="0" w:color="auto"/>
              <w:right w:val="single" w:sz="4" w:space="0" w:color="auto"/>
            </w:tcBorders>
            <w:vAlign w:val="center"/>
            <w:hideMark/>
          </w:tcPr>
          <w:p w14:paraId="51DD63B8" w14:textId="25739E55" w:rsidR="00761440" w:rsidRPr="000C6E07" w:rsidRDefault="00761440" w:rsidP="00761440">
            <w:pPr>
              <w:spacing w:after="0"/>
              <w:jc w:val="center"/>
              <w:rPr>
                <w:rFonts w:eastAsia="Times New Roman" w:cs="Times New Roman"/>
                <w:color w:val="000000"/>
                <w:sz w:val="20"/>
                <w:szCs w:val="20"/>
                <w:lang w:val="ro-RO"/>
                <w14:ligatures w14:val="none"/>
              </w:rPr>
            </w:pPr>
            <w:r>
              <w:rPr>
                <w:color w:val="0070C0"/>
                <w:sz w:val="20"/>
                <w:szCs w:val="20"/>
              </w:rPr>
              <w:t>4.158,0</w:t>
            </w:r>
          </w:p>
        </w:tc>
        <w:tc>
          <w:tcPr>
            <w:tcW w:w="922" w:type="dxa"/>
            <w:tcBorders>
              <w:top w:val="nil"/>
              <w:left w:val="nil"/>
              <w:bottom w:val="single" w:sz="4" w:space="0" w:color="auto"/>
              <w:right w:val="single" w:sz="4" w:space="0" w:color="auto"/>
            </w:tcBorders>
            <w:vAlign w:val="center"/>
            <w:hideMark/>
          </w:tcPr>
          <w:p w14:paraId="35475FE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E9DDDAF" w14:textId="7777777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p w14:paraId="0E36D8D1" w14:textId="220616A0" w:rsidR="00410417" w:rsidRPr="000C6E07" w:rsidRDefault="00410417"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 xml:space="preserve">Democrația </w:t>
            </w:r>
            <w:proofErr w:type="spellStart"/>
            <w:r>
              <w:rPr>
                <w:rFonts w:eastAsia="Times New Roman" w:cs="Times New Roman"/>
                <w:color w:val="000000"/>
                <w:sz w:val="20"/>
                <w:szCs w:val="20"/>
                <w:lang w:val="ro-RO"/>
                <w14:ligatures w14:val="none"/>
              </w:rPr>
              <w:t>Rezilientă</w:t>
            </w:r>
            <w:proofErr w:type="spellEnd"/>
            <w:r>
              <w:rPr>
                <w:rFonts w:eastAsia="Times New Roman" w:cs="Times New Roman"/>
                <w:color w:val="000000"/>
                <w:sz w:val="20"/>
                <w:szCs w:val="20"/>
                <w:lang w:val="ro-RO"/>
                <w14:ligatures w14:val="none"/>
              </w:rPr>
              <w:t xml:space="preserve"> prin Combaterea Corupției (UNDP)</w:t>
            </w:r>
          </w:p>
        </w:tc>
        <w:tc>
          <w:tcPr>
            <w:tcW w:w="1000" w:type="dxa"/>
            <w:tcBorders>
              <w:top w:val="nil"/>
              <w:left w:val="nil"/>
              <w:bottom w:val="single" w:sz="4" w:space="0" w:color="auto"/>
              <w:right w:val="single" w:sz="4" w:space="0" w:color="auto"/>
            </w:tcBorders>
            <w:vAlign w:val="center"/>
            <w:hideMark/>
          </w:tcPr>
          <w:p w14:paraId="692890B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E5AA548" w14:textId="57C9CE96" w:rsidR="00BD23F1" w:rsidRDefault="00BD23F1" w:rsidP="00761440">
            <w:pPr>
              <w:spacing w:after="0"/>
              <w:jc w:val="center"/>
              <w:rPr>
                <w:color w:val="0070C0"/>
                <w:sz w:val="20"/>
                <w:szCs w:val="20"/>
                <w:lang w:val="ro-RO"/>
              </w:rPr>
            </w:pPr>
            <w:r>
              <w:rPr>
                <w:color w:val="0070C0"/>
                <w:sz w:val="20"/>
                <w:szCs w:val="20"/>
                <w:lang w:val="ro-RO"/>
              </w:rPr>
              <w:t xml:space="preserve">4.114,0 </w:t>
            </w:r>
          </w:p>
          <w:p w14:paraId="09C12578" w14:textId="77777777" w:rsidR="00BD23F1" w:rsidRDefault="00BD23F1" w:rsidP="00761440">
            <w:pPr>
              <w:spacing w:after="0"/>
              <w:jc w:val="center"/>
              <w:rPr>
                <w:color w:val="0070C0"/>
                <w:sz w:val="20"/>
                <w:szCs w:val="20"/>
                <w:lang w:val="ro-RO"/>
              </w:rPr>
            </w:pPr>
          </w:p>
          <w:p w14:paraId="5E62AD01" w14:textId="77777777" w:rsidR="00BD23F1" w:rsidRDefault="00BD23F1" w:rsidP="00761440">
            <w:pPr>
              <w:spacing w:after="0"/>
              <w:jc w:val="center"/>
              <w:rPr>
                <w:color w:val="0070C0"/>
                <w:sz w:val="20"/>
                <w:szCs w:val="20"/>
                <w:lang w:val="ro-RO"/>
              </w:rPr>
            </w:pPr>
          </w:p>
          <w:p w14:paraId="544548B9" w14:textId="74073C89" w:rsidR="00761440" w:rsidRPr="00BD23F1" w:rsidRDefault="00BD23F1" w:rsidP="00761440">
            <w:pPr>
              <w:spacing w:after="0"/>
              <w:jc w:val="center"/>
              <w:rPr>
                <w:rFonts w:eastAsia="Times New Roman" w:cs="Times New Roman"/>
                <w:color w:val="000000"/>
                <w:sz w:val="20"/>
                <w:szCs w:val="20"/>
                <w:lang w:val="ro-RO"/>
                <w14:ligatures w14:val="none"/>
              </w:rPr>
            </w:pPr>
            <w:r>
              <w:rPr>
                <w:color w:val="0070C0"/>
                <w:sz w:val="20"/>
                <w:szCs w:val="20"/>
                <w:lang w:val="ro-RO"/>
              </w:rPr>
              <w:t>1.386,0</w:t>
            </w:r>
          </w:p>
        </w:tc>
        <w:tc>
          <w:tcPr>
            <w:tcW w:w="1000" w:type="dxa"/>
            <w:tcBorders>
              <w:top w:val="nil"/>
              <w:left w:val="nil"/>
              <w:bottom w:val="single" w:sz="4" w:space="0" w:color="auto"/>
              <w:right w:val="single" w:sz="4" w:space="0" w:color="auto"/>
            </w:tcBorders>
            <w:vAlign w:val="center"/>
            <w:hideMark/>
          </w:tcPr>
          <w:p w14:paraId="69DA3CA0" w14:textId="77777777" w:rsidR="00BD23F1" w:rsidRDefault="00BD23F1" w:rsidP="00BD23F1">
            <w:pPr>
              <w:spacing w:after="0"/>
              <w:jc w:val="center"/>
              <w:rPr>
                <w:color w:val="0070C0"/>
                <w:sz w:val="20"/>
                <w:szCs w:val="20"/>
                <w:lang w:val="ro-RO"/>
              </w:rPr>
            </w:pPr>
            <w:r>
              <w:rPr>
                <w:color w:val="0070C0"/>
                <w:sz w:val="20"/>
                <w:szCs w:val="20"/>
                <w:lang w:val="ro-RO"/>
              </w:rPr>
              <w:t xml:space="preserve">4.114,0 </w:t>
            </w:r>
          </w:p>
          <w:p w14:paraId="66AF9E29" w14:textId="77777777" w:rsidR="00BD23F1" w:rsidRDefault="00BD23F1" w:rsidP="00BD23F1">
            <w:pPr>
              <w:spacing w:after="0"/>
              <w:jc w:val="center"/>
              <w:rPr>
                <w:color w:val="0070C0"/>
                <w:sz w:val="20"/>
                <w:szCs w:val="20"/>
                <w:lang w:val="ro-RO"/>
              </w:rPr>
            </w:pPr>
          </w:p>
          <w:p w14:paraId="71541807" w14:textId="77777777" w:rsidR="00BD23F1" w:rsidRDefault="00BD23F1" w:rsidP="00BD23F1">
            <w:pPr>
              <w:spacing w:after="0"/>
              <w:jc w:val="center"/>
              <w:rPr>
                <w:color w:val="0070C0"/>
                <w:sz w:val="20"/>
                <w:szCs w:val="20"/>
                <w:lang w:val="ro-RO"/>
              </w:rPr>
            </w:pPr>
          </w:p>
          <w:p w14:paraId="0103C58A" w14:textId="7454B8FD" w:rsidR="00761440" w:rsidRPr="000C6E07" w:rsidRDefault="00BD23F1" w:rsidP="00BD23F1">
            <w:pPr>
              <w:spacing w:after="0"/>
              <w:jc w:val="center"/>
              <w:rPr>
                <w:rFonts w:eastAsia="Times New Roman" w:cs="Times New Roman"/>
                <w:color w:val="0070C0"/>
                <w:sz w:val="20"/>
                <w:szCs w:val="20"/>
                <w:lang w:val="ro-RO"/>
                <w14:ligatures w14:val="none"/>
              </w:rPr>
            </w:pPr>
            <w:r>
              <w:rPr>
                <w:color w:val="0070C0"/>
                <w:sz w:val="20"/>
                <w:szCs w:val="20"/>
                <w:lang w:val="ro-RO"/>
              </w:rPr>
              <w:t>1.386,0</w:t>
            </w:r>
          </w:p>
        </w:tc>
        <w:tc>
          <w:tcPr>
            <w:tcW w:w="1000" w:type="dxa"/>
            <w:tcBorders>
              <w:top w:val="nil"/>
              <w:left w:val="nil"/>
              <w:bottom w:val="single" w:sz="4" w:space="0" w:color="auto"/>
              <w:right w:val="single" w:sz="4" w:space="0" w:color="auto"/>
            </w:tcBorders>
            <w:vAlign w:val="center"/>
            <w:hideMark/>
          </w:tcPr>
          <w:p w14:paraId="3286A84A" w14:textId="77777777" w:rsidR="00BD23F1" w:rsidRDefault="00BD23F1" w:rsidP="00BD23F1">
            <w:pPr>
              <w:spacing w:after="0"/>
              <w:jc w:val="center"/>
              <w:rPr>
                <w:color w:val="0070C0"/>
                <w:sz w:val="20"/>
                <w:szCs w:val="20"/>
                <w:lang w:val="ro-RO"/>
              </w:rPr>
            </w:pPr>
            <w:r>
              <w:rPr>
                <w:color w:val="0070C0"/>
                <w:sz w:val="20"/>
                <w:szCs w:val="20"/>
                <w:lang w:val="ro-RO"/>
              </w:rPr>
              <w:t xml:space="preserve">4.114,0 </w:t>
            </w:r>
          </w:p>
          <w:p w14:paraId="7D072DED" w14:textId="77777777" w:rsidR="00BD23F1" w:rsidRDefault="00BD23F1" w:rsidP="00BD23F1">
            <w:pPr>
              <w:spacing w:after="0"/>
              <w:jc w:val="center"/>
              <w:rPr>
                <w:color w:val="0070C0"/>
                <w:sz w:val="20"/>
                <w:szCs w:val="20"/>
                <w:lang w:val="ro-RO"/>
              </w:rPr>
            </w:pPr>
          </w:p>
          <w:p w14:paraId="36266795" w14:textId="77777777" w:rsidR="00BD23F1" w:rsidRDefault="00BD23F1" w:rsidP="00BD23F1">
            <w:pPr>
              <w:spacing w:after="0"/>
              <w:jc w:val="center"/>
              <w:rPr>
                <w:color w:val="0070C0"/>
                <w:sz w:val="20"/>
                <w:szCs w:val="20"/>
                <w:lang w:val="ro-RO"/>
              </w:rPr>
            </w:pPr>
          </w:p>
          <w:p w14:paraId="08BDFAEE" w14:textId="72F2F738" w:rsidR="00761440" w:rsidRPr="000C6E07" w:rsidRDefault="00BD23F1" w:rsidP="00BD23F1">
            <w:pPr>
              <w:spacing w:after="0"/>
              <w:jc w:val="center"/>
              <w:rPr>
                <w:rFonts w:eastAsia="Times New Roman" w:cs="Times New Roman"/>
                <w:color w:val="0070C0"/>
                <w:sz w:val="20"/>
                <w:szCs w:val="20"/>
                <w:lang w:val="ro-RO"/>
                <w14:ligatures w14:val="none"/>
              </w:rPr>
            </w:pPr>
            <w:r>
              <w:rPr>
                <w:color w:val="0070C0"/>
                <w:sz w:val="20"/>
                <w:szCs w:val="20"/>
                <w:lang w:val="ro-RO"/>
              </w:rPr>
              <w:t>1.386,0</w:t>
            </w:r>
          </w:p>
        </w:tc>
        <w:tc>
          <w:tcPr>
            <w:tcW w:w="1000" w:type="dxa"/>
            <w:tcBorders>
              <w:top w:val="nil"/>
              <w:left w:val="nil"/>
              <w:bottom w:val="single" w:sz="4" w:space="0" w:color="auto"/>
              <w:right w:val="single" w:sz="4" w:space="0" w:color="auto"/>
            </w:tcBorders>
            <w:vAlign w:val="center"/>
            <w:hideMark/>
          </w:tcPr>
          <w:p w14:paraId="7B502DF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E012AB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tcBorders>
              <w:top w:val="nil"/>
              <w:left w:val="single" w:sz="4" w:space="0" w:color="auto"/>
              <w:bottom w:val="single" w:sz="4" w:space="0" w:color="auto"/>
              <w:right w:val="single" w:sz="4" w:space="0" w:color="auto"/>
            </w:tcBorders>
            <w:vAlign w:val="center"/>
            <w:hideMark/>
          </w:tcPr>
          <w:p w14:paraId="1DD0DB58" w14:textId="77777777" w:rsidR="00761440" w:rsidRPr="000C6E07" w:rsidRDefault="00761440" w:rsidP="00761440">
            <w:pPr>
              <w:spacing w:after="0"/>
              <w:rPr>
                <w:rFonts w:eastAsia="Times New Roman" w:cs="Times New Roman"/>
                <w:color w:val="000000"/>
                <w:sz w:val="20"/>
                <w:szCs w:val="20"/>
                <w:lang w:val="ro-RO"/>
                <w14:ligatures w14:val="none"/>
              </w:rPr>
            </w:pPr>
          </w:p>
        </w:tc>
      </w:tr>
      <w:tr w:rsidR="00761440" w:rsidRPr="000C6E07" w14:paraId="4B3B85FB"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4B246E1C" w14:textId="4172655F"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BF1A29D" w14:textId="77777777" w:rsidR="00F34E3D" w:rsidRPr="00F34E3D" w:rsidRDefault="00F34E3D" w:rsidP="00F34E3D">
            <w:pPr>
              <w:spacing w:after="0"/>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Instruirea angajaților implicați în activitatea de patrulare și reacționare operativă</w:t>
            </w:r>
            <w:r w:rsidRPr="00F34E3D">
              <w:rPr>
                <w:rFonts w:eastAsia="Times New Roman" w:cs="Times New Roman"/>
                <w:color w:val="000000"/>
                <w:sz w:val="20"/>
                <w:szCs w:val="20"/>
                <w:lang w:val="ro-RO"/>
                <w14:ligatures w14:val="none"/>
              </w:rPr>
              <w:t xml:space="preserve"> </w:t>
            </w:r>
          </w:p>
          <w:p w14:paraId="4FA115F1" w14:textId="77777777" w:rsidR="00F34E3D" w:rsidRPr="000C6E07" w:rsidRDefault="00F34E3D"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1D39C5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Cel puțin 70% din angajații implicați în patrulare, pe tipuri, cu respectarea criteriului de gen, instruiți;</w:t>
            </w:r>
          </w:p>
        </w:tc>
        <w:tc>
          <w:tcPr>
            <w:tcW w:w="1026" w:type="dxa"/>
            <w:vMerge w:val="restart"/>
            <w:tcBorders>
              <w:top w:val="nil"/>
              <w:left w:val="single" w:sz="4" w:space="0" w:color="auto"/>
              <w:bottom w:val="single" w:sz="4" w:space="0" w:color="auto"/>
              <w:right w:val="single" w:sz="4" w:space="0" w:color="auto"/>
            </w:tcBorders>
            <w:vAlign w:val="center"/>
            <w:hideMark/>
          </w:tcPr>
          <w:p w14:paraId="5E225F25"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4.480,0</w:t>
            </w:r>
          </w:p>
        </w:tc>
        <w:tc>
          <w:tcPr>
            <w:tcW w:w="1100" w:type="dxa"/>
            <w:vMerge w:val="restart"/>
            <w:tcBorders>
              <w:top w:val="nil"/>
              <w:left w:val="single" w:sz="4" w:space="0" w:color="auto"/>
              <w:bottom w:val="single" w:sz="4" w:space="0" w:color="auto"/>
              <w:right w:val="single" w:sz="4" w:space="0" w:color="auto"/>
            </w:tcBorders>
            <w:vAlign w:val="center"/>
            <w:hideMark/>
          </w:tcPr>
          <w:p w14:paraId="67A8F3A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4.480,0</w:t>
            </w:r>
          </w:p>
        </w:tc>
        <w:tc>
          <w:tcPr>
            <w:tcW w:w="1015" w:type="dxa"/>
            <w:vMerge w:val="restart"/>
            <w:tcBorders>
              <w:top w:val="nil"/>
              <w:left w:val="single" w:sz="4" w:space="0" w:color="auto"/>
              <w:bottom w:val="single" w:sz="4" w:space="0" w:color="auto"/>
              <w:right w:val="single" w:sz="4" w:space="0" w:color="auto"/>
            </w:tcBorders>
            <w:vAlign w:val="center"/>
            <w:hideMark/>
          </w:tcPr>
          <w:p w14:paraId="5798D02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1C76F4C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1A99A3D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8812</w:t>
            </w:r>
            <w:r w:rsidRPr="000C6E07">
              <w:rPr>
                <w:rFonts w:eastAsia="Times New Roman" w:cs="Times New Roman"/>
                <w:color w:val="000000"/>
                <w:sz w:val="20"/>
                <w:szCs w:val="20"/>
                <w:lang w:val="ro-RO"/>
                <w14:ligatures w14:val="none"/>
              </w:rPr>
              <w:br/>
              <w:t>3504</w:t>
            </w:r>
            <w:r w:rsidRPr="000C6E07">
              <w:rPr>
                <w:rFonts w:eastAsia="Times New Roman" w:cs="Times New Roman"/>
                <w:color w:val="000000"/>
                <w:sz w:val="20"/>
                <w:szCs w:val="20"/>
                <w:lang w:val="ro-RO"/>
                <w14:ligatures w14:val="none"/>
              </w:rPr>
              <w:b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132EC99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97,8</w:t>
            </w:r>
          </w:p>
        </w:tc>
        <w:tc>
          <w:tcPr>
            <w:tcW w:w="1000" w:type="dxa"/>
            <w:vMerge w:val="restart"/>
            <w:tcBorders>
              <w:top w:val="nil"/>
              <w:left w:val="single" w:sz="4" w:space="0" w:color="auto"/>
              <w:bottom w:val="single" w:sz="4" w:space="0" w:color="auto"/>
              <w:right w:val="single" w:sz="4" w:space="0" w:color="auto"/>
            </w:tcBorders>
            <w:vAlign w:val="center"/>
            <w:hideMark/>
          </w:tcPr>
          <w:p w14:paraId="04F7997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97,8</w:t>
            </w:r>
          </w:p>
        </w:tc>
        <w:tc>
          <w:tcPr>
            <w:tcW w:w="1000" w:type="dxa"/>
            <w:vMerge w:val="restart"/>
            <w:tcBorders>
              <w:top w:val="nil"/>
              <w:left w:val="single" w:sz="4" w:space="0" w:color="auto"/>
              <w:bottom w:val="single" w:sz="4" w:space="0" w:color="auto"/>
              <w:right w:val="single" w:sz="4" w:space="0" w:color="auto"/>
            </w:tcBorders>
            <w:vAlign w:val="center"/>
            <w:hideMark/>
          </w:tcPr>
          <w:p w14:paraId="29C64EC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97,8</w:t>
            </w:r>
          </w:p>
        </w:tc>
        <w:tc>
          <w:tcPr>
            <w:tcW w:w="1000" w:type="dxa"/>
            <w:vMerge w:val="restart"/>
            <w:tcBorders>
              <w:top w:val="nil"/>
              <w:left w:val="single" w:sz="4" w:space="0" w:color="auto"/>
              <w:bottom w:val="single" w:sz="4" w:space="0" w:color="auto"/>
              <w:right w:val="single" w:sz="4" w:space="0" w:color="auto"/>
            </w:tcBorders>
            <w:vAlign w:val="center"/>
            <w:hideMark/>
          </w:tcPr>
          <w:p w14:paraId="37C81FA0"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97,8</w:t>
            </w:r>
          </w:p>
        </w:tc>
        <w:tc>
          <w:tcPr>
            <w:tcW w:w="1000" w:type="dxa"/>
            <w:vMerge w:val="restart"/>
            <w:tcBorders>
              <w:top w:val="nil"/>
              <w:left w:val="single" w:sz="4" w:space="0" w:color="auto"/>
              <w:bottom w:val="single" w:sz="4" w:space="0" w:color="auto"/>
              <w:right w:val="single" w:sz="4" w:space="0" w:color="auto"/>
            </w:tcBorders>
            <w:vAlign w:val="center"/>
            <w:hideMark/>
          </w:tcPr>
          <w:p w14:paraId="13720AF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97,8</w:t>
            </w:r>
          </w:p>
        </w:tc>
        <w:tc>
          <w:tcPr>
            <w:tcW w:w="1082" w:type="dxa"/>
            <w:vMerge w:val="restart"/>
            <w:tcBorders>
              <w:top w:val="nil"/>
              <w:left w:val="single" w:sz="4" w:space="0" w:color="auto"/>
              <w:bottom w:val="single" w:sz="4" w:space="0" w:color="auto"/>
              <w:right w:val="single" w:sz="4" w:space="0" w:color="auto"/>
            </w:tcBorders>
            <w:vAlign w:val="center"/>
            <w:hideMark/>
          </w:tcPr>
          <w:p w14:paraId="191BE81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bottom w:val="single" w:sz="4" w:space="0" w:color="auto"/>
              <w:right w:val="single" w:sz="4" w:space="0" w:color="auto"/>
            </w:tcBorders>
            <w:vAlign w:val="center"/>
            <w:hideMark/>
          </w:tcPr>
          <w:p w14:paraId="5EA3C14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292A9AB3" w14:textId="77777777" w:rsidTr="004356CF">
        <w:trPr>
          <w:trHeight w:val="1560"/>
        </w:trPr>
        <w:tc>
          <w:tcPr>
            <w:tcW w:w="568" w:type="dxa"/>
            <w:vMerge/>
            <w:tcBorders>
              <w:top w:val="nil"/>
              <w:left w:val="single" w:sz="4" w:space="0" w:color="auto"/>
              <w:bottom w:val="single" w:sz="4" w:space="0" w:color="auto"/>
              <w:right w:val="single" w:sz="4" w:space="0" w:color="auto"/>
            </w:tcBorders>
            <w:hideMark/>
          </w:tcPr>
          <w:p w14:paraId="458FD450"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9D0CAA5"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9FADDA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cel puțin 70% din membrii echipelor de patrulare și reacționare operativă, cu respectarea criteriului de gen, instruiți</w:t>
            </w:r>
          </w:p>
        </w:tc>
        <w:tc>
          <w:tcPr>
            <w:tcW w:w="1026" w:type="dxa"/>
            <w:vMerge/>
            <w:tcBorders>
              <w:top w:val="nil"/>
              <w:left w:val="single" w:sz="4" w:space="0" w:color="auto"/>
              <w:bottom w:val="single" w:sz="4" w:space="0" w:color="auto"/>
              <w:right w:val="single" w:sz="4" w:space="0" w:color="auto"/>
            </w:tcBorders>
            <w:vAlign w:val="center"/>
            <w:hideMark/>
          </w:tcPr>
          <w:p w14:paraId="481634F9"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16FAFE1D"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35F36737"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55CB8A29"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7C803749"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5DD5D70A"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6FA78DA5"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09F1EC2E"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0FE504B"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575B0DD5" w14:textId="77777777" w:rsidR="00761440" w:rsidRPr="000C6E07" w:rsidRDefault="00761440" w:rsidP="00761440">
            <w:pPr>
              <w:spacing w:after="0"/>
              <w:rPr>
                <w:rFonts w:eastAsia="Times New Roman" w:cs="Times New Roman"/>
                <w:color w:val="0070C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5B2E943F"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24FA15FF" w14:textId="77777777" w:rsidR="00761440" w:rsidRPr="000C6E07" w:rsidRDefault="00761440" w:rsidP="00761440">
            <w:pPr>
              <w:spacing w:after="0"/>
              <w:rPr>
                <w:rFonts w:eastAsia="Times New Roman" w:cs="Times New Roman"/>
                <w:color w:val="000000"/>
                <w:sz w:val="20"/>
                <w:szCs w:val="20"/>
                <w:lang w:val="ro-RO"/>
                <w14:ligatures w14:val="none"/>
              </w:rPr>
            </w:pPr>
          </w:p>
        </w:tc>
      </w:tr>
      <w:tr w:rsidR="00A050B1" w:rsidRPr="000C6E07" w14:paraId="54EB2204" w14:textId="77777777" w:rsidTr="001A1B9F">
        <w:trPr>
          <w:trHeight w:val="2340"/>
        </w:trPr>
        <w:tc>
          <w:tcPr>
            <w:tcW w:w="568" w:type="dxa"/>
            <w:vMerge w:val="restart"/>
            <w:tcBorders>
              <w:top w:val="nil"/>
              <w:left w:val="single" w:sz="4" w:space="0" w:color="auto"/>
              <w:right w:val="single" w:sz="4" w:space="0" w:color="auto"/>
            </w:tcBorders>
            <w:hideMark/>
          </w:tcPr>
          <w:p w14:paraId="627D8E4E" w14:textId="10096A02" w:rsidR="00A050B1" w:rsidRPr="000C6E07" w:rsidRDefault="00A050B1"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05C938E8" w14:textId="77777777" w:rsidR="00A050B1" w:rsidRPr="000C6E07" w:rsidRDefault="00A050B1"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Operaționalizarea sistemului informațional automatizat de evidență, planificare și monitorizare a resurselor instituției</w:t>
            </w:r>
          </w:p>
        </w:tc>
        <w:tc>
          <w:tcPr>
            <w:tcW w:w="1843" w:type="dxa"/>
            <w:tcBorders>
              <w:top w:val="nil"/>
              <w:left w:val="nil"/>
              <w:bottom w:val="single" w:sz="4" w:space="0" w:color="auto"/>
              <w:right w:val="single" w:sz="4" w:space="0" w:color="auto"/>
            </w:tcBorders>
            <w:vAlign w:val="center"/>
            <w:hideMark/>
          </w:tcPr>
          <w:p w14:paraId="1574505D" w14:textId="77777777" w:rsidR="00A050B1"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Sistemul informațional automatizat „Semnalări” dezvoltat</w:t>
            </w:r>
          </w:p>
          <w:p w14:paraId="1398C558" w14:textId="77777777" w:rsidR="00A050B1" w:rsidRPr="000C6E07" w:rsidRDefault="00A050B1" w:rsidP="00A050B1">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7AE973DB" w14:textId="77777777" w:rsidR="00A050B1" w:rsidRDefault="00A050B1"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772,0</w:t>
            </w:r>
          </w:p>
          <w:p w14:paraId="71579361" w14:textId="77777777" w:rsidR="00A050B1" w:rsidRDefault="00A050B1" w:rsidP="00761440">
            <w:pPr>
              <w:spacing w:after="0"/>
              <w:jc w:val="center"/>
              <w:rPr>
                <w:rFonts w:eastAsia="Times New Roman" w:cs="Times New Roman"/>
                <w:color w:val="0070C0"/>
                <w:sz w:val="20"/>
                <w:szCs w:val="20"/>
                <w:lang w:val="ro-RO"/>
                <w14:ligatures w14:val="none"/>
              </w:rPr>
            </w:pPr>
          </w:p>
          <w:p w14:paraId="59683748" w14:textId="77777777" w:rsidR="00A050B1" w:rsidRDefault="00A050B1" w:rsidP="00761440">
            <w:pPr>
              <w:spacing w:after="0"/>
              <w:jc w:val="center"/>
              <w:rPr>
                <w:rFonts w:eastAsia="Times New Roman" w:cs="Times New Roman"/>
                <w:color w:val="0070C0"/>
                <w:sz w:val="20"/>
                <w:szCs w:val="20"/>
                <w:lang w:val="ro-RO"/>
                <w14:ligatures w14:val="none"/>
              </w:rPr>
            </w:pPr>
          </w:p>
          <w:p w14:paraId="3D29EB38" w14:textId="77777777" w:rsidR="00A050B1" w:rsidRPr="00E83533" w:rsidRDefault="00A050B1" w:rsidP="00E83533">
            <w:pPr>
              <w:spacing w:after="0"/>
              <w:jc w:val="center"/>
              <w:rPr>
                <w:rFonts w:eastAsia="Times New Roman" w:cs="Times New Roman"/>
                <w:color w:val="0070C0"/>
                <w:sz w:val="20"/>
                <w:szCs w:val="20"/>
                <w:lang w:val="ro-RO"/>
                <w14:ligatures w14:val="none"/>
              </w:rPr>
            </w:pPr>
          </w:p>
          <w:p w14:paraId="70966B6E" w14:textId="77777777" w:rsidR="00A050B1" w:rsidRDefault="00A050B1" w:rsidP="00E83533">
            <w:pPr>
              <w:spacing w:after="0"/>
              <w:jc w:val="center"/>
              <w:rPr>
                <w:rFonts w:eastAsia="Times New Roman" w:cs="Times New Roman"/>
                <w:color w:val="0070C0"/>
                <w:sz w:val="20"/>
                <w:szCs w:val="20"/>
                <w:highlight w:val="yellow"/>
                <w:lang w:val="ro-RO"/>
                <w14:ligatures w14:val="none"/>
              </w:rPr>
            </w:pPr>
          </w:p>
          <w:p w14:paraId="66D7891F" w14:textId="77777777" w:rsidR="00A050B1" w:rsidRPr="000C6E07" w:rsidRDefault="00A050B1" w:rsidP="00A050B1">
            <w:pPr>
              <w:spacing w:after="0"/>
              <w:jc w:val="center"/>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hideMark/>
          </w:tcPr>
          <w:p w14:paraId="379C41CA" w14:textId="77777777" w:rsidR="00A050B1" w:rsidRDefault="00A050B1" w:rsidP="00761440">
            <w:pPr>
              <w:spacing w:after="0"/>
              <w:jc w:val="center"/>
              <w:rPr>
                <w:rFonts w:eastAsia="Times New Roman" w:cs="Times New Roman"/>
                <w:color w:val="0070C0"/>
                <w:sz w:val="20"/>
                <w:szCs w:val="20"/>
                <w:lang w:val="ro-RO"/>
                <w14:ligatures w14:val="none"/>
              </w:rPr>
            </w:pPr>
          </w:p>
          <w:p w14:paraId="73D093CA" w14:textId="47BCF8A9" w:rsidR="00A050B1" w:rsidRDefault="00A050B1"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772,0</w:t>
            </w:r>
          </w:p>
          <w:p w14:paraId="7E3E69FE" w14:textId="77777777" w:rsidR="00A050B1" w:rsidRDefault="00A050B1" w:rsidP="00761440">
            <w:pPr>
              <w:spacing w:after="0"/>
              <w:jc w:val="center"/>
              <w:rPr>
                <w:rFonts w:eastAsia="Times New Roman" w:cs="Times New Roman"/>
                <w:color w:val="0070C0"/>
                <w:sz w:val="20"/>
                <w:szCs w:val="20"/>
                <w:lang w:val="ro-RO"/>
                <w14:ligatures w14:val="none"/>
              </w:rPr>
            </w:pPr>
          </w:p>
          <w:p w14:paraId="191E8BD4" w14:textId="77777777" w:rsidR="00A050B1" w:rsidRDefault="00A050B1" w:rsidP="00761440">
            <w:pPr>
              <w:spacing w:after="0"/>
              <w:jc w:val="center"/>
              <w:rPr>
                <w:rFonts w:eastAsia="Times New Roman" w:cs="Times New Roman"/>
                <w:color w:val="0070C0"/>
                <w:sz w:val="20"/>
                <w:szCs w:val="20"/>
                <w:lang w:val="ro-RO"/>
                <w14:ligatures w14:val="none"/>
              </w:rPr>
            </w:pPr>
          </w:p>
          <w:p w14:paraId="0FE5009C" w14:textId="77777777" w:rsidR="00A050B1" w:rsidRDefault="00A050B1" w:rsidP="00761440">
            <w:pPr>
              <w:spacing w:after="0"/>
              <w:jc w:val="center"/>
              <w:rPr>
                <w:rFonts w:eastAsia="Times New Roman" w:cs="Times New Roman"/>
                <w:color w:val="0070C0"/>
                <w:sz w:val="20"/>
                <w:szCs w:val="20"/>
                <w:lang w:val="ro-RO"/>
                <w14:ligatures w14:val="none"/>
              </w:rPr>
            </w:pPr>
          </w:p>
          <w:p w14:paraId="60CA06C1" w14:textId="77777777" w:rsidR="00A050B1" w:rsidRDefault="00A050B1" w:rsidP="00761440">
            <w:pPr>
              <w:spacing w:after="0"/>
              <w:jc w:val="center"/>
              <w:rPr>
                <w:rFonts w:eastAsia="Times New Roman" w:cs="Times New Roman"/>
                <w:color w:val="0070C0"/>
                <w:sz w:val="20"/>
                <w:szCs w:val="20"/>
                <w:lang w:val="ro-RO"/>
                <w14:ligatures w14:val="none"/>
              </w:rPr>
            </w:pPr>
          </w:p>
          <w:p w14:paraId="505193A4" w14:textId="77777777" w:rsidR="00A050B1" w:rsidRDefault="00A050B1" w:rsidP="00761440">
            <w:pPr>
              <w:spacing w:after="0"/>
              <w:jc w:val="center"/>
              <w:rPr>
                <w:rFonts w:eastAsia="Times New Roman" w:cs="Times New Roman"/>
                <w:color w:val="0070C0"/>
                <w:sz w:val="20"/>
                <w:szCs w:val="20"/>
                <w:lang w:val="ro-RO"/>
                <w14:ligatures w14:val="none"/>
              </w:rPr>
            </w:pPr>
          </w:p>
          <w:p w14:paraId="75B46764" w14:textId="77777777" w:rsidR="00A050B1" w:rsidRPr="000C6E07" w:rsidRDefault="00A050B1" w:rsidP="00761440">
            <w:pPr>
              <w:spacing w:after="0"/>
              <w:jc w:val="center"/>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hideMark/>
          </w:tcPr>
          <w:p w14:paraId="4D4A9D90" w14:textId="77777777" w:rsidR="00A050B1" w:rsidRPr="00E83533" w:rsidRDefault="00A050B1" w:rsidP="00E83533">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p w14:paraId="6996B429" w14:textId="77777777" w:rsidR="00A050B1" w:rsidRDefault="00A050B1" w:rsidP="00E83533">
            <w:pPr>
              <w:spacing w:after="0"/>
              <w:jc w:val="center"/>
              <w:rPr>
                <w:rFonts w:eastAsia="Times New Roman" w:cs="Times New Roman"/>
                <w:color w:val="0070C0"/>
                <w:sz w:val="20"/>
                <w:szCs w:val="20"/>
                <w:lang w:val="ro-RO"/>
                <w14:ligatures w14:val="none"/>
              </w:rPr>
            </w:pPr>
          </w:p>
          <w:p w14:paraId="3CA0CDF0" w14:textId="77777777" w:rsidR="00A050B1" w:rsidRDefault="00A050B1" w:rsidP="00E83533">
            <w:pPr>
              <w:spacing w:after="0"/>
              <w:jc w:val="center"/>
              <w:rPr>
                <w:rFonts w:eastAsia="Times New Roman" w:cs="Times New Roman"/>
                <w:color w:val="0070C0"/>
                <w:sz w:val="20"/>
                <w:szCs w:val="20"/>
                <w:lang w:val="ro-RO"/>
                <w14:ligatures w14:val="none"/>
              </w:rPr>
            </w:pPr>
          </w:p>
          <w:p w14:paraId="7FD9DB2B" w14:textId="77777777" w:rsidR="00A050B1" w:rsidRDefault="00A050B1" w:rsidP="00E83533">
            <w:pPr>
              <w:spacing w:after="0"/>
              <w:jc w:val="center"/>
              <w:rPr>
                <w:rFonts w:eastAsia="Times New Roman" w:cs="Times New Roman"/>
                <w:color w:val="0070C0"/>
                <w:sz w:val="20"/>
                <w:szCs w:val="20"/>
                <w:lang w:val="ro-RO"/>
                <w14:ligatures w14:val="none"/>
              </w:rPr>
            </w:pPr>
          </w:p>
          <w:p w14:paraId="24EF4E35" w14:textId="7C9D56DF" w:rsidR="00A050B1" w:rsidRPr="000C6E07" w:rsidRDefault="00A050B1" w:rsidP="00A050B1">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B9809DE" w14:textId="77777777" w:rsidR="00A050B1" w:rsidRPr="000C6E07"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8C91838" w14:textId="6954D391" w:rsidR="00A050B1" w:rsidRPr="00D87D85" w:rsidRDefault="00A050B1" w:rsidP="00761440">
            <w:pPr>
              <w:spacing w:after="0"/>
              <w:jc w:val="center"/>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3502</w:t>
            </w:r>
          </w:p>
          <w:p w14:paraId="5CE5DC23" w14:textId="7AE9462B" w:rsidR="00A050B1" w:rsidRPr="00D87D85" w:rsidRDefault="00A050B1" w:rsidP="00761440">
            <w:pPr>
              <w:spacing w:after="0"/>
              <w:jc w:val="center"/>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3504</w:t>
            </w:r>
          </w:p>
          <w:p w14:paraId="28FDFBE8" w14:textId="39D26DBF" w:rsidR="00A050B1" w:rsidRDefault="00A050B1" w:rsidP="00761440">
            <w:pPr>
              <w:spacing w:after="0"/>
              <w:jc w:val="center"/>
              <w:rPr>
                <w:rFonts w:eastAsia="Times New Roman" w:cs="Times New Roman"/>
                <w:color w:val="000000"/>
                <w:sz w:val="20"/>
                <w:szCs w:val="20"/>
                <w:lang w:val="ro-RO"/>
                <w14:ligatures w14:val="none"/>
              </w:rPr>
            </w:pPr>
            <w:r w:rsidRPr="00D87D85">
              <w:rPr>
                <w:rFonts w:eastAsia="Times New Roman" w:cs="Times New Roman"/>
                <w:color w:val="000000"/>
                <w:sz w:val="20"/>
                <w:szCs w:val="20"/>
                <w:lang w:val="ro-RO"/>
                <w14:ligatures w14:val="none"/>
              </w:rPr>
              <w:t>3505</w:t>
            </w:r>
          </w:p>
          <w:p w14:paraId="002C96BC" w14:textId="77777777" w:rsidR="00A050B1" w:rsidRDefault="00A050B1" w:rsidP="00761440">
            <w:pPr>
              <w:spacing w:after="0"/>
              <w:jc w:val="center"/>
              <w:rPr>
                <w:rFonts w:eastAsia="Times New Roman" w:cs="Times New Roman"/>
                <w:color w:val="000000"/>
                <w:sz w:val="20"/>
                <w:szCs w:val="20"/>
                <w:lang w:val="ro-RO"/>
                <w14:ligatures w14:val="none"/>
              </w:rPr>
            </w:pPr>
          </w:p>
          <w:p w14:paraId="13D693F2" w14:textId="77777777" w:rsidR="00A050B1" w:rsidRPr="00E83533" w:rsidRDefault="00A050B1" w:rsidP="00E83533">
            <w:pPr>
              <w:spacing w:after="0"/>
              <w:jc w:val="center"/>
              <w:rPr>
                <w:rFonts w:eastAsia="Times New Roman" w:cs="Times New Roman"/>
                <w:color w:val="000000"/>
                <w:sz w:val="20"/>
                <w:szCs w:val="20"/>
                <w:lang w:val="ro-RO"/>
                <w14:ligatures w14:val="none"/>
              </w:rPr>
            </w:pPr>
          </w:p>
          <w:p w14:paraId="1A44EEDF" w14:textId="77777777" w:rsidR="00A050B1" w:rsidRDefault="00A050B1" w:rsidP="00E83533">
            <w:pPr>
              <w:spacing w:after="0"/>
              <w:jc w:val="center"/>
              <w:rPr>
                <w:rFonts w:eastAsia="Times New Roman" w:cs="Times New Roman"/>
                <w:i/>
                <w:iCs/>
                <w:color w:val="000000"/>
                <w:sz w:val="20"/>
                <w:szCs w:val="20"/>
                <w:highlight w:val="yellow"/>
                <w:lang w:val="ro-RO"/>
                <w14:ligatures w14:val="none"/>
              </w:rPr>
            </w:pPr>
          </w:p>
          <w:p w14:paraId="6A9660A8" w14:textId="77777777" w:rsidR="00A050B1" w:rsidRDefault="00A050B1" w:rsidP="00E83533">
            <w:pPr>
              <w:spacing w:after="0"/>
              <w:jc w:val="center"/>
              <w:rPr>
                <w:rFonts w:eastAsia="Times New Roman" w:cs="Times New Roman"/>
                <w:i/>
                <w:iCs/>
                <w:color w:val="000000"/>
                <w:sz w:val="20"/>
                <w:szCs w:val="20"/>
                <w:highlight w:val="yellow"/>
                <w:lang w:val="ro-RO"/>
                <w14:ligatures w14:val="none"/>
              </w:rPr>
            </w:pPr>
          </w:p>
          <w:p w14:paraId="62BF4F7B" w14:textId="7D382977" w:rsidR="00A050B1" w:rsidRPr="000C6E07" w:rsidRDefault="00A050B1" w:rsidP="00A050B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7ECFA383" w14:textId="77777777" w:rsidR="00A050B1" w:rsidRDefault="00A050B1"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p w14:paraId="44A07438" w14:textId="77777777" w:rsidR="00A050B1" w:rsidRDefault="00A050B1" w:rsidP="00761440">
            <w:pPr>
              <w:spacing w:after="0"/>
              <w:jc w:val="center"/>
              <w:rPr>
                <w:rFonts w:eastAsia="Times New Roman" w:cs="Times New Roman"/>
                <w:color w:val="0070C0"/>
                <w:sz w:val="20"/>
                <w:szCs w:val="20"/>
                <w:lang w:val="ro-RO"/>
                <w14:ligatures w14:val="none"/>
              </w:rPr>
            </w:pPr>
          </w:p>
          <w:p w14:paraId="7B8A8328" w14:textId="77777777" w:rsidR="00A050B1" w:rsidRDefault="00A050B1" w:rsidP="00761440">
            <w:pPr>
              <w:spacing w:after="0"/>
              <w:jc w:val="center"/>
              <w:rPr>
                <w:rFonts w:eastAsia="Times New Roman" w:cs="Times New Roman"/>
                <w:color w:val="0070C0"/>
                <w:sz w:val="20"/>
                <w:szCs w:val="20"/>
                <w:lang w:val="ro-RO"/>
                <w14:ligatures w14:val="none"/>
              </w:rPr>
            </w:pPr>
          </w:p>
          <w:p w14:paraId="6059069C" w14:textId="557A6925" w:rsidR="00A050B1" w:rsidRPr="000C6E07" w:rsidRDefault="00A050B1" w:rsidP="00761440">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1AFE424D" w14:textId="77777777" w:rsidR="00A050B1" w:rsidRDefault="00A050B1"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772,0</w:t>
            </w:r>
          </w:p>
          <w:p w14:paraId="33A37973" w14:textId="77777777" w:rsidR="00A050B1" w:rsidRDefault="00A050B1" w:rsidP="00761440">
            <w:pPr>
              <w:spacing w:after="0"/>
              <w:jc w:val="center"/>
              <w:rPr>
                <w:rFonts w:eastAsia="Times New Roman" w:cs="Times New Roman"/>
                <w:color w:val="0070C0"/>
                <w:sz w:val="20"/>
                <w:szCs w:val="20"/>
                <w:lang w:val="ro-RO"/>
                <w14:ligatures w14:val="none"/>
              </w:rPr>
            </w:pPr>
          </w:p>
          <w:p w14:paraId="6C27805D" w14:textId="77777777" w:rsidR="00A050B1" w:rsidRDefault="00A050B1" w:rsidP="00761440">
            <w:pPr>
              <w:spacing w:after="0"/>
              <w:jc w:val="center"/>
              <w:rPr>
                <w:rFonts w:eastAsia="Times New Roman" w:cs="Times New Roman"/>
                <w:color w:val="0070C0"/>
                <w:sz w:val="20"/>
                <w:szCs w:val="20"/>
                <w:lang w:val="ro-RO"/>
                <w14:ligatures w14:val="none"/>
              </w:rPr>
            </w:pPr>
          </w:p>
          <w:p w14:paraId="525F8236" w14:textId="1CC5C660" w:rsidR="00A050B1" w:rsidRPr="000C6E07" w:rsidRDefault="00A050B1" w:rsidP="00E83533">
            <w:pPr>
              <w:spacing w:after="0"/>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35132EE7" w14:textId="77777777" w:rsidR="00A050B1" w:rsidRPr="000C6E07"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FB333A" w14:textId="77777777" w:rsidR="00A050B1" w:rsidRPr="000C6E07"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EE913B5" w14:textId="77777777" w:rsidR="00A050B1" w:rsidRPr="000C6E07"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EA5E637" w14:textId="77777777" w:rsidR="00A050B1" w:rsidRPr="000C6E07"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7D7D8F30" w14:textId="77777777" w:rsidR="00A050B1" w:rsidRPr="000C6E07" w:rsidRDefault="00A050B1"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A050B1" w:rsidRPr="000C6E07" w14:paraId="772390A6" w14:textId="77777777" w:rsidTr="001A1B9F">
        <w:trPr>
          <w:trHeight w:val="2340"/>
        </w:trPr>
        <w:tc>
          <w:tcPr>
            <w:tcW w:w="568" w:type="dxa"/>
            <w:vMerge/>
            <w:tcBorders>
              <w:left w:val="single" w:sz="4" w:space="0" w:color="auto"/>
              <w:bottom w:val="single" w:sz="4" w:space="0" w:color="auto"/>
              <w:right w:val="single" w:sz="4" w:space="0" w:color="auto"/>
            </w:tcBorders>
          </w:tcPr>
          <w:p w14:paraId="086265A9" w14:textId="77777777" w:rsidR="00A050B1" w:rsidRPr="000C6E07" w:rsidRDefault="00A050B1"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tcPr>
          <w:p w14:paraId="41E2B6D2" w14:textId="77777777" w:rsidR="00A050B1" w:rsidRPr="000C6E07" w:rsidRDefault="00A050B1"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5C149069" w14:textId="77777777" w:rsidR="00A050B1" w:rsidRPr="00A050B1" w:rsidRDefault="00A050B1" w:rsidP="00A050B1">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xml:space="preserve">Sistemul Informațional Integrat al Managementului Operațional (SIIMO) - faza II - dezvoltat </w:t>
            </w:r>
          </w:p>
          <w:p w14:paraId="318C797F" w14:textId="77777777" w:rsidR="00A050B1" w:rsidRPr="00A050B1" w:rsidRDefault="00A050B1" w:rsidP="00761440">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tcPr>
          <w:p w14:paraId="66619062" w14:textId="77777777" w:rsidR="00A050B1" w:rsidRDefault="00A050B1" w:rsidP="00A050B1">
            <w:pPr>
              <w:jc w:val="center"/>
              <w:rPr>
                <w:color w:val="0070C0"/>
                <w:sz w:val="20"/>
                <w:szCs w:val="20"/>
                <w:lang w:val="ro-RO"/>
              </w:rPr>
            </w:pPr>
            <w:r>
              <w:rPr>
                <w:color w:val="0070C0"/>
                <w:sz w:val="20"/>
                <w:szCs w:val="20"/>
              </w:rPr>
              <w:t>10 000,0</w:t>
            </w:r>
          </w:p>
          <w:p w14:paraId="751DC37E" w14:textId="77777777" w:rsidR="00A050B1" w:rsidRPr="00A050B1" w:rsidRDefault="00A050B1" w:rsidP="00761440">
            <w:pPr>
              <w:spacing w:after="0"/>
              <w:jc w:val="center"/>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tcPr>
          <w:p w14:paraId="11E1A81F" w14:textId="77777777" w:rsidR="00A050B1" w:rsidRPr="00A050B1" w:rsidRDefault="00A050B1" w:rsidP="00761440">
            <w:pPr>
              <w:spacing w:after="0"/>
              <w:jc w:val="center"/>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tcPr>
          <w:p w14:paraId="69213CD9" w14:textId="77777777" w:rsidR="00A050B1" w:rsidRDefault="00A050B1" w:rsidP="00A050B1">
            <w:pPr>
              <w:jc w:val="center"/>
              <w:rPr>
                <w:color w:val="0070C0"/>
                <w:sz w:val="20"/>
                <w:szCs w:val="20"/>
                <w:lang w:val="ro-RO"/>
              </w:rPr>
            </w:pPr>
            <w:r>
              <w:rPr>
                <w:color w:val="0070C0"/>
                <w:sz w:val="20"/>
                <w:szCs w:val="20"/>
              </w:rPr>
              <w:t>10 000,0</w:t>
            </w:r>
          </w:p>
          <w:p w14:paraId="18FB5DBE" w14:textId="77777777" w:rsidR="00A050B1" w:rsidRPr="00A050B1" w:rsidRDefault="00A050B1" w:rsidP="00E83533">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7E480980" w14:textId="77777777" w:rsidR="00A050B1" w:rsidRPr="00A050B1" w:rsidRDefault="00A050B1" w:rsidP="00761440">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08246E47" w14:textId="77777777" w:rsidR="00A050B1" w:rsidRPr="00A050B1" w:rsidRDefault="00A050B1" w:rsidP="00A050B1">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 xml:space="preserve">EU4Public </w:t>
            </w:r>
            <w:proofErr w:type="spellStart"/>
            <w:r w:rsidRPr="00A050B1">
              <w:rPr>
                <w:rFonts w:eastAsia="Times New Roman" w:cs="Times New Roman"/>
                <w:color w:val="000000"/>
                <w:sz w:val="20"/>
                <w:szCs w:val="20"/>
                <w:lang w:val="ro-RO"/>
                <w14:ligatures w14:val="none"/>
              </w:rPr>
              <w:t>Order</w:t>
            </w:r>
            <w:proofErr w:type="spellEnd"/>
            <w:r w:rsidRPr="00A050B1">
              <w:rPr>
                <w:rFonts w:eastAsia="Times New Roman" w:cs="Times New Roman"/>
                <w:color w:val="000000"/>
                <w:sz w:val="20"/>
                <w:szCs w:val="20"/>
                <w:lang w:val="ro-RO"/>
                <w14:ligatures w14:val="none"/>
              </w:rPr>
              <w:t xml:space="preserve">, finanțat de Uniunea Europeană </w:t>
            </w:r>
          </w:p>
          <w:p w14:paraId="2CA17EA5" w14:textId="77777777" w:rsidR="00A050B1" w:rsidRPr="00A050B1" w:rsidRDefault="00A050B1" w:rsidP="00761440">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DE23DA5" w14:textId="77777777" w:rsidR="00A050B1" w:rsidRDefault="00A050B1" w:rsidP="00A050B1">
            <w:pPr>
              <w:jc w:val="center"/>
              <w:rPr>
                <w:color w:val="0070C0"/>
                <w:sz w:val="20"/>
                <w:szCs w:val="20"/>
                <w:lang w:val="ro-RO"/>
              </w:rPr>
            </w:pPr>
            <w:r>
              <w:rPr>
                <w:color w:val="0070C0"/>
                <w:sz w:val="20"/>
                <w:szCs w:val="20"/>
              </w:rPr>
              <w:t>5 000,0</w:t>
            </w:r>
          </w:p>
          <w:p w14:paraId="4A843F41" w14:textId="416B24C4" w:rsidR="00A050B1" w:rsidRPr="00A050B1" w:rsidRDefault="00A050B1" w:rsidP="00761440">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5D5CC75B" w14:textId="77777777" w:rsidR="00A050B1" w:rsidRDefault="00A050B1" w:rsidP="00A050B1">
            <w:pPr>
              <w:jc w:val="center"/>
              <w:rPr>
                <w:color w:val="0070C0"/>
                <w:sz w:val="20"/>
                <w:szCs w:val="20"/>
                <w:lang w:val="ro-RO"/>
              </w:rPr>
            </w:pPr>
            <w:r>
              <w:rPr>
                <w:color w:val="0070C0"/>
                <w:sz w:val="20"/>
                <w:szCs w:val="20"/>
              </w:rPr>
              <w:t>5 000,0</w:t>
            </w:r>
          </w:p>
          <w:p w14:paraId="4E7B8D1C" w14:textId="49DC586D" w:rsidR="00A050B1" w:rsidRPr="00A050B1" w:rsidRDefault="00A050B1" w:rsidP="00761440">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4E1459B" w14:textId="77777777" w:rsidR="00A050B1" w:rsidRPr="00A050B1" w:rsidRDefault="00A050B1" w:rsidP="00761440">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13854BB" w14:textId="77777777" w:rsidR="00A050B1" w:rsidRPr="00A050B1" w:rsidRDefault="00A050B1" w:rsidP="00761440">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69174281" w14:textId="77777777" w:rsidR="00A050B1" w:rsidRPr="00A050B1" w:rsidRDefault="00A050B1" w:rsidP="00761440">
            <w:pPr>
              <w:spacing w:after="0"/>
              <w:jc w:val="center"/>
              <w:rPr>
                <w:rFonts w:eastAsia="Times New Roman" w:cs="Times New Roman"/>
                <w:color w:val="00000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3C5F2E06" w14:textId="3BD90445" w:rsidR="00A050B1" w:rsidRPr="00A050B1" w:rsidRDefault="00A050B1"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tcPr>
          <w:p w14:paraId="2A757559" w14:textId="35FC8DC7" w:rsidR="00A050B1" w:rsidRPr="00A050B1" w:rsidRDefault="00A050B1" w:rsidP="00761440">
            <w:pPr>
              <w:spacing w:after="0"/>
              <w:jc w:val="center"/>
              <w:rPr>
                <w:rFonts w:eastAsia="Times New Roman" w:cs="Times New Roman"/>
                <w:color w:val="000000"/>
                <w:sz w:val="20"/>
                <w:szCs w:val="20"/>
                <w:lang w:val="ro-RO"/>
                <w14:ligatures w14:val="none"/>
              </w:rPr>
            </w:pPr>
            <w:r w:rsidRPr="00A050B1">
              <w:rPr>
                <w:rFonts w:eastAsia="Times New Roman" w:cs="Times New Roman"/>
                <w:color w:val="000000"/>
                <w:sz w:val="20"/>
                <w:szCs w:val="20"/>
                <w:lang w:val="ro-RO"/>
                <w14:ligatures w14:val="none"/>
              </w:rPr>
              <w:t>Ministerul Afacerilor Interne;</w:t>
            </w:r>
            <w:r w:rsidRPr="00A050B1">
              <w:rPr>
                <w:rFonts w:eastAsia="Times New Roman" w:cs="Times New Roman"/>
                <w:i/>
                <w:iCs/>
                <w:color w:val="000000"/>
                <w:sz w:val="20"/>
                <w:szCs w:val="20"/>
                <w:lang w:val="ro-RO"/>
                <w14:ligatures w14:val="none"/>
              </w:rPr>
              <w:t xml:space="preserve"> </w:t>
            </w:r>
            <w:r w:rsidRPr="00A050B1">
              <w:rPr>
                <w:rFonts w:eastAsia="Times New Roman" w:cs="Times New Roman"/>
                <w:color w:val="000000"/>
                <w:sz w:val="20"/>
                <w:szCs w:val="20"/>
                <w:lang w:val="ro-RO"/>
                <w14:ligatures w14:val="none"/>
              </w:rPr>
              <w:t>Uniunea Europeană</w:t>
            </w:r>
          </w:p>
        </w:tc>
      </w:tr>
      <w:tr w:rsidR="00761440" w:rsidRPr="000C6E07" w14:paraId="690EFDBB" w14:textId="77777777" w:rsidTr="004356CF">
        <w:trPr>
          <w:trHeight w:val="1820"/>
        </w:trPr>
        <w:tc>
          <w:tcPr>
            <w:tcW w:w="568" w:type="dxa"/>
            <w:tcBorders>
              <w:top w:val="nil"/>
              <w:left w:val="single" w:sz="4" w:space="0" w:color="auto"/>
              <w:bottom w:val="single" w:sz="4" w:space="0" w:color="auto"/>
              <w:right w:val="single" w:sz="4" w:space="0" w:color="auto"/>
            </w:tcBorders>
            <w:hideMark/>
          </w:tcPr>
          <w:p w14:paraId="5B84DDC6" w14:textId="63832312"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133CEB78"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unitară a regulilor de evaluare instituțională a performanței</w:t>
            </w:r>
          </w:p>
        </w:tc>
        <w:tc>
          <w:tcPr>
            <w:tcW w:w="1843" w:type="dxa"/>
            <w:tcBorders>
              <w:top w:val="nil"/>
              <w:left w:val="nil"/>
              <w:bottom w:val="single" w:sz="4" w:space="0" w:color="auto"/>
              <w:right w:val="single" w:sz="4" w:space="0" w:color="auto"/>
            </w:tcBorders>
            <w:vAlign w:val="center"/>
            <w:hideMark/>
          </w:tcPr>
          <w:p w14:paraId="23221BB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Criterii clare de apreciere a activității, pe domenii, elaborate și aprobate</w:t>
            </w:r>
          </w:p>
        </w:tc>
        <w:tc>
          <w:tcPr>
            <w:tcW w:w="1026" w:type="dxa"/>
            <w:tcBorders>
              <w:top w:val="nil"/>
              <w:left w:val="nil"/>
              <w:bottom w:val="single" w:sz="4" w:space="0" w:color="auto"/>
              <w:right w:val="single" w:sz="4" w:space="0" w:color="auto"/>
            </w:tcBorders>
            <w:vAlign w:val="center"/>
            <w:hideMark/>
          </w:tcPr>
          <w:p w14:paraId="6E8DC2AC"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4F722B1B"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69EC96E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467066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F6E2E8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70FBF45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CD8AA4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086FEE"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31BAE20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7D844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F495771" w14:textId="4DFB36D7" w:rsidR="00761440" w:rsidRPr="00783DF5" w:rsidRDefault="00761440" w:rsidP="00761440">
            <w:pPr>
              <w:spacing w:after="0"/>
              <w:jc w:val="center"/>
              <w:rPr>
                <w:rFonts w:eastAsia="Times New Roman" w:cs="Times New Roman"/>
                <w:color w:val="000000"/>
                <w:sz w:val="20"/>
                <w:szCs w:val="20"/>
                <w:lang w:val="ro-RO"/>
                <w14:ligatures w14:val="none"/>
              </w:rPr>
            </w:pPr>
            <w:r w:rsidRPr="00783DF5">
              <w:rPr>
                <w:rFonts w:eastAsia="Times New Roman" w:cs="Times New Roman"/>
                <w:color w:val="000000"/>
                <w:sz w:val="20"/>
                <w:szCs w:val="20"/>
                <w:lang w:val="ro-RO"/>
                <w14:ligatures w14:val="none"/>
              </w:rPr>
              <w:t>Trimestrul IV, 2028</w:t>
            </w:r>
            <w:r w:rsidRPr="00783DF5">
              <w:rPr>
                <w:rFonts w:eastAsia="Times New Roman" w:cs="Times New Roman"/>
                <w:color w:val="000000"/>
                <w:sz w:val="20"/>
                <w:szCs w:val="20"/>
                <w:lang w:val="ro-RO"/>
                <w14:ligatures w14:val="none"/>
              </w:rPr>
              <w:br/>
            </w:r>
          </w:p>
        </w:tc>
        <w:tc>
          <w:tcPr>
            <w:tcW w:w="1162" w:type="dxa"/>
            <w:tcBorders>
              <w:top w:val="nil"/>
              <w:left w:val="nil"/>
              <w:bottom w:val="single" w:sz="4" w:space="0" w:color="auto"/>
              <w:right w:val="single" w:sz="4" w:space="0" w:color="auto"/>
            </w:tcBorders>
            <w:vAlign w:val="center"/>
            <w:hideMark/>
          </w:tcPr>
          <w:p w14:paraId="0BAC38E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2761BAB4" w14:textId="77777777" w:rsidTr="004356CF">
        <w:trPr>
          <w:trHeight w:val="290"/>
        </w:trPr>
        <w:tc>
          <w:tcPr>
            <w:tcW w:w="568" w:type="dxa"/>
            <w:vMerge w:val="restart"/>
            <w:tcBorders>
              <w:top w:val="nil"/>
              <w:left w:val="single" w:sz="4" w:space="0" w:color="auto"/>
              <w:bottom w:val="single" w:sz="4" w:space="0" w:color="auto"/>
              <w:right w:val="single" w:sz="4" w:space="0" w:color="auto"/>
            </w:tcBorders>
            <w:hideMark/>
          </w:tcPr>
          <w:p w14:paraId="7F28E1A5" w14:textId="45DFD403"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5E657AAA"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Prevenirea și combaterea fenomenului de ultragiere și </w:t>
            </w:r>
            <w:r w:rsidRPr="000C6E07">
              <w:rPr>
                <w:rFonts w:eastAsia="Times New Roman" w:cs="Times New Roman"/>
                <w:color w:val="000000"/>
                <w:sz w:val="20"/>
                <w:szCs w:val="20"/>
                <w:lang w:val="ro-RO"/>
                <w14:ligatures w14:val="none"/>
              </w:rPr>
              <w:lastRenderedPageBreak/>
              <w:t>maltratare a angajaților IGP și IGC, precum și de nesubordonare acestora</w:t>
            </w:r>
          </w:p>
        </w:tc>
        <w:tc>
          <w:tcPr>
            <w:tcW w:w="1843" w:type="dxa"/>
            <w:vMerge w:val="restart"/>
            <w:tcBorders>
              <w:top w:val="nil"/>
              <w:left w:val="single" w:sz="4" w:space="0" w:color="auto"/>
              <w:bottom w:val="single" w:sz="4" w:space="0" w:color="auto"/>
              <w:right w:val="single" w:sz="4" w:space="0" w:color="auto"/>
            </w:tcBorders>
            <w:vAlign w:val="center"/>
            <w:hideMark/>
          </w:tcPr>
          <w:p w14:paraId="2FBB5D58" w14:textId="77777777" w:rsidR="008E7210" w:rsidRPr="008E7210" w:rsidRDefault="008E7210" w:rsidP="008E7210">
            <w:pPr>
              <w:spacing w:after="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lastRenderedPageBreak/>
              <w:t xml:space="preserve">Activități de descurajare a comportamentelor agresive în adresa </w:t>
            </w:r>
            <w:r w:rsidRPr="003C3115">
              <w:rPr>
                <w:rFonts w:eastAsia="Times New Roman" w:cs="Times New Roman"/>
                <w:color w:val="000000"/>
                <w:sz w:val="20"/>
                <w:szCs w:val="20"/>
                <w:lang w:val="ro-RO"/>
                <w14:ligatures w14:val="none"/>
              </w:rPr>
              <w:lastRenderedPageBreak/>
              <w:t>angajaților MAI organizate</w:t>
            </w:r>
            <w:r w:rsidRPr="008E7210">
              <w:rPr>
                <w:rFonts w:eastAsia="Times New Roman" w:cs="Times New Roman"/>
                <w:color w:val="000000"/>
                <w:sz w:val="20"/>
                <w:szCs w:val="20"/>
                <w:lang w:val="ro-RO"/>
                <w14:ligatures w14:val="none"/>
              </w:rPr>
              <w:t xml:space="preserve"> </w:t>
            </w:r>
          </w:p>
          <w:p w14:paraId="761FB22F" w14:textId="77777777" w:rsidR="008E7210" w:rsidRPr="000C6E07" w:rsidRDefault="008E7210" w:rsidP="00761440">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39039A87"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489,2</w:t>
            </w:r>
          </w:p>
        </w:tc>
        <w:tc>
          <w:tcPr>
            <w:tcW w:w="1100" w:type="dxa"/>
            <w:tcBorders>
              <w:top w:val="nil"/>
              <w:left w:val="nil"/>
              <w:bottom w:val="single" w:sz="4" w:space="0" w:color="auto"/>
              <w:right w:val="single" w:sz="4" w:space="0" w:color="auto"/>
            </w:tcBorders>
            <w:vAlign w:val="center"/>
            <w:hideMark/>
          </w:tcPr>
          <w:p w14:paraId="5A4C04C8"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489,2</w:t>
            </w:r>
          </w:p>
        </w:tc>
        <w:tc>
          <w:tcPr>
            <w:tcW w:w="1015" w:type="dxa"/>
            <w:tcBorders>
              <w:top w:val="nil"/>
              <w:left w:val="nil"/>
              <w:bottom w:val="single" w:sz="4" w:space="0" w:color="auto"/>
              <w:right w:val="single" w:sz="4" w:space="0" w:color="auto"/>
            </w:tcBorders>
            <w:vAlign w:val="center"/>
            <w:hideMark/>
          </w:tcPr>
          <w:p w14:paraId="3160616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985396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6F7285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2D34CE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38FAD9"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489,2</w:t>
            </w:r>
          </w:p>
        </w:tc>
        <w:tc>
          <w:tcPr>
            <w:tcW w:w="1000" w:type="dxa"/>
            <w:tcBorders>
              <w:top w:val="nil"/>
              <w:left w:val="nil"/>
              <w:bottom w:val="single" w:sz="4" w:space="0" w:color="auto"/>
              <w:right w:val="single" w:sz="4" w:space="0" w:color="auto"/>
            </w:tcBorders>
            <w:vAlign w:val="center"/>
            <w:hideMark/>
          </w:tcPr>
          <w:p w14:paraId="77FC4FF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595922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615862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32C8CD7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single" w:sz="4" w:space="0" w:color="auto"/>
              <w:bottom w:val="single" w:sz="4" w:space="0" w:color="auto"/>
              <w:right w:val="single" w:sz="4" w:space="0" w:color="auto"/>
            </w:tcBorders>
            <w:vAlign w:val="center"/>
            <w:hideMark/>
          </w:tcPr>
          <w:p w14:paraId="5C7FA17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7FF960DB" w14:textId="77777777" w:rsidTr="004356CF">
        <w:trPr>
          <w:trHeight w:val="290"/>
        </w:trPr>
        <w:tc>
          <w:tcPr>
            <w:tcW w:w="568" w:type="dxa"/>
            <w:vMerge/>
            <w:tcBorders>
              <w:top w:val="nil"/>
              <w:left w:val="single" w:sz="4" w:space="0" w:color="auto"/>
              <w:bottom w:val="single" w:sz="4" w:space="0" w:color="auto"/>
              <w:right w:val="single" w:sz="4" w:space="0" w:color="auto"/>
            </w:tcBorders>
            <w:hideMark/>
          </w:tcPr>
          <w:p w14:paraId="6B4463E1"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9B89C6F"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7A56252A"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5DCAA1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489,2</w:t>
            </w:r>
          </w:p>
        </w:tc>
        <w:tc>
          <w:tcPr>
            <w:tcW w:w="1100" w:type="dxa"/>
            <w:tcBorders>
              <w:top w:val="nil"/>
              <w:left w:val="nil"/>
              <w:bottom w:val="single" w:sz="4" w:space="0" w:color="auto"/>
              <w:right w:val="single" w:sz="4" w:space="0" w:color="auto"/>
            </w:tcBorders>
            <w:vAlign w:val="center"/>
            <w:hideMark/>
          </w:tcPr>
          <w:p w14:paraId="0D768C6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489,2</w:t>
            </w:r>
          </w:p>
        </w:tc>
        <w:tc>
          <w:tcPr>
            <w:tcW w:w="1015" w:type="dxa"/>
            <w:tcBorders>
              <w:top w:val="nil"/>
              <w:left w:val="nil"/>
              <w:bottom w:val="single" w:sz="4" w:space="0" w:color="auto"/>
              <w:right w:val="single" w:sz="4" w:space="0" w:color="auto"/>
            </w:tcBorders>
            <w:vAlign w:val="center"/>
            <w:hideMark/>
          </w:tcPr>
          <w:p w14:paraId="17F40C0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87F2C0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1C8280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46B4BCE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BFEFBE"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489,2</w:t>
            </w:r>
          </w:p>
        </w:tc>
        <w:tc>
          <w:tcPr>
            <w:tcW w:w="1000" w:type="dxa"/>
            <w:tcBorders>
              <w:top w:val="nil"/>
              <w:left w:val="nil"/>
              <w:bottom w:val="single" w:sz="4" w:space="0" w:color="auto"/>
              <w:right w:val="single" w:sz="4" w:space="0" w:color="auto"/>
            </w:tcBorders>
            <w:vAlign w:val="center"/>
            <w:hideMark/>
          </w:tcPr>
          <w:p w14:paraId="445D0F3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11E480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1BD856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1EB403AF"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7AFE11AF" w14:textId="77777777" w:rsidR="00761440" w:rsidRPr="000C6E07" w:rsidRDefault="00761440" w:rsidP="00761440">
            <w:pPr>
              <w:spacing w:after="0"/>
              <w:rPr>
                <w:rFonts w:eastAsia="Times New Roman" w:cs="Times New Roman"/>
                <w:color w:val="000000"/>
                <w:sz w:val="20"/>
                <w:szCs w:val="20"/>
                <w:lang w:val="ro-RO"/>
                <w14:ligatures w14:val="none"/>
              </w:rPr>
            </w:pPr>
          </w:p>
        </w:tc>
      </w:tr>
      <w:tr w:rsidR="00761440" w:rsidRPr="000C6E07" w14:paraId="3F1A3EF7"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1D059C2F"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B457CD4"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3D2D557" w14:textId="0189EE4A" w:rsidR="008E7210" w:rsidRPr="008E7210" w:rsidRDefault="008E7210" w:rsidP="008E7210">
            <w:pPr>
              <w:spacing w:after="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t>minimum 80% de polițiști și carabinieri din prima linie instruiți în domeniul comunicării, gestionării conflictelor și aplicarea mijloacelor speciale/tacticilor de bază</w:t>
            </w:r>
          </w:p>
        </w:tc>
        <w:tc>
          <w:tcPr>
            <w:tcW w:w="1026" w:type="dxa"/>
            <w:tcBorders>
              <w:top w:val="nil"/>
              <w:left w:val="nil"/>
              <w:bottom w:val="single" w:sz="4" w:space="0" w:color="auto"/>
              <w:right w:val="single" w:sz="4" w:space="0" w:color="auto"/>
            </w:tcBorders>
            <w:vAlign w:val="center"/>
            <w:hideMark/>
          </w:tcPr>
          <w:p w14:paraId="3A4F3C0E"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5.600,0</w:t>
            </w:r>
          </w:p>
        </w:tc>
        <w:tc>
          <w:tcPr>
            <w:tcW w:w="1100" w:type="dxa"/>
            <w:tcBorders>
              <w:top w:val="nil"/>
              <w:left w:val="nil"/>
              <w:bottom w:val="single" w:sz="4" w:space="0" w:color="auto"/>
              <w:right w:val="single" w:sz="4" w:space="0" w:color="auto"/>
            </w:tcBorders>
            <w:vAlign w:val="center"/>
            <w:hideMark/>
          </w:tcPr>
          <w:p w14:paraId="0CBFA993"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5.600,0</w:t>
            </w:r>
          </w:p>
        </w:tc>
        <w:tc>
          <w:tcPr>
            <w:tcW w:w="1015" w:type="dxa"/>
            <w:tcBorders>
              <w:top w:val="nil"/>
              <w:left w:val="nil"/>
              <w:bottom w:val="single" w:sz="4" w:space="0" w:color="auto"/>
              <w:right w:val="single" w:sz="4" w:space="0" w:color="auto"/>
            </w:tcBorders>
            <w:vAlign w:val="center"/>
            <w:hideMark/>
          </w:tcPr>
          <w:p w14:paraId="2FD920A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7C58B1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076D47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8812</w:t>
            </w:r>
          </w:p>
        </w:tc>
        <w:tc>
          <w:tcPr>
            <w:tcW w:w="1000" w:type="dxa"/>
            <w:tcBorders>
              <w:top w:val="nil"/>
              <w:left w:val="nil"/>
              <w:bottom w:val="single" w:sz="4" w:space="0" w:color="auto"/>
              <w:right w:val="single" w:sz="4" w:space="0" w:color="auto"/>
            </w:tcBorders>
            <w:vAlign w:val="center"/>
            <w:hideMark/>
          </w:tcPr>
          <w:p w14:paraId="59C0C505"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1.400,0</w:t>
            </w:r>
          </w:p>
        </w:tc>
        <w:tc>
          <w:tcPr>
            <w:tcW w:w="1000" w:type="dxa"/>
            <w:tcBorders>
              <w:top w:val="nil"/>
              <w:left w:val="nil"/>
              <w:bottom w:val="single" w:sz="4" w:space="0" w:color="auto"/>
              <w:right w:val="single" w:sz="4" w:space="0" w:color="auto"/>
            </w:tcBorders>
            <w:vAlign w:val="center"/>
            <w:hideMark/>
          </w:tcPr>
          <w:p w14:paraId="53534614"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1.400,0</w:t>
            </w:r>
          </w:p>
        </w:tc>
        <w:tc>
          <w:tcPr>
            <w:tcW w:w="1000" w:type="dxa"/>
            <w:tcBorders>
              <w:top w:val="nil"/>
              <w:left w:val="nil"/>
              <w:bottom w:val="single" w:sz="4" w:space="0" w:color="auto"/>
              <w:right w:val="single" w:sz="4" w:space="0" w:color="auto"/>
            </w:tcBorders>
            <w:vAlign w:val="center"/>
            <w:hideMark/>
          </w:tcPr>
          <w:p w14:paraId="3CB4515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1.400,0</w:t>
            </w:r>
          </w:p>
        </w:tc>
        <w:tc>
          <w:tcPr>
            <w:tcW w:w="1000" w:type="dxa"/>
            <w:tcBorders>
              <w:top w:val="nil"/>
              <w:left w:val="nil"/>
              <w:bottom w:val="single" w:sz="4" w:space="0" w:color="auto"/>
              <w:right w:val="single" w:sz="4" w:space="0" w:color="auto"/>
            </w:tcBorders>
            <w:vAlign w:val="center"/>
            <w:hideMark/>
          </w:tcPr>
          <w:p w14:paraId="6CA276C3"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1.400,0</w:t>
            </w:r>
          </w:p>
        </w:tc>
        <w:tc>
          <w:tcPr>
            <w:tcW w:w="1000" w:type="dxa"/>
            <w:tcBorders>
              <w:top w:val="nil"/>
              <w:left w:val="nil"/>
              <w:bottom w:val="single" w:sz="4" w:space="0" w:color="auto"/>
              <w:right w:val="single" w:sz="4" w:space="0" w:color="auto"/>
            </w:tcBorders>
            <w:vAlign w:val="center"/>
            <w:hideMark/>
          </w:tcPr>
          <w:p w14:paraId="2FB2FB1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057A31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3D173A0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36AEA4A7" w14:textId="77777777" w:rsidTr="004356CF">
        <w:trPr>
          <w:trHeight w:val="1560"/>
        </w:trPr>
        <w:tc>
          <w:tcPr>
            <w:tcW w:w="568" w:type="dxa"/>
            <w:vMerge/>
            <w:tcBorders>
              <w:top w:val="nil"/>
              <w:left w:val="single" w:sz="4" w:space="0" w:color="auto"/>
              <w:bottom w:val="single" w:sz="4" w:space="0" w:color="auto"/>
              <w:right w:val="single" w:sz="4" w:space="0" w:color="auto"/>
            </w:tcBorders>
            <w:hideMark/>
          </w:tcPr>
          <w:p w14:paraId="6CEE6DD5"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1F877FF"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4202F9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Propuneri de modificare a cadrului normativ pentru înăsprirea sancțiunilor pentru ultragiere și maltratare a angajaților MAI înaintate</w:t>
            </w:r>
          </w:p>
        </w:tc>
        <w:tc>
          <w:tcPr>
            <w:tcW w:w="1026" w:type="dxa"/>
            <w:tcBorders>
              <w:top w:val="nil"/>
              <w:left w:val="nil"/>
              <w:bottom w:val="single" w:sz="4" w:space="0" w:color="auto"/>
              <w:right w:val="single" w:sz="4" w:space="0" w:color="auto"/>
            </w:tcBorders>
            <w:vAlign w:val="center"/>
            <w:hideMark/>
          </w:tcPr>
          <w:p w14:paraId="61CF091A"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5E9D0256"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486F798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7970E0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90233C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64884DD9"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5C1F7CD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04F30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EB88B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E7B688"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5525D24"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33CC10D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3C3115" w:rsidRPr="000C6E07" w14:paraId="2097F42E" w14:textId="77777777" w:rsidTr="002E4166">
        <w:trPr>
          <w:trHeight w:val="520"/>
        </w:trPr>
        <w:tc>
          <w:tcPr>
            <w:tcW w:w="568" w:type="dxa"/>
            <w:vMerge w:val="restart"/>
            <w:tcBorders>
              <w:top w:val="nil"/>
              <w:left w:val="single" w:sz="4" w:space="0" w:color="auto"/>
              <w:right w:val="single" w:sz="4" w:space="0" w:color="auto"/>
            </w:tcBorders>
            <w:hideMark/>
          </w:tcPr>
          <w:p w14:paraId="64EF7C5F" w14:textId="3DCBD82C" w:rsidR="003C3115" w:rsidRPr="000C6E07" w:rsidRDefault="003C3115"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right w:val="single" w:sz="4" w:space="0" w:color="auto"/>
            </w:tcBorders>
            <w:hideMark/>
          </w:tcPr>
          <w:p w14:paraId="16502CF2" w14:textId="77777777" w:rsidR="003C3115" w:rsidRPr="000C6E07" w:rsidRDefault="003C3115" w:rsidP="003C3115">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Dezvoltarea la nivel regional a infrastructurii pentru pregătirea profesională a angajaților MAI, inclusiv </w:t>
            </w:r>
            <w:r w:rsidRPr="000C6E07">
              <w:rPr>
                <w:rFonts w:eastAsia="Times New Roman" w:cs="Times New Roman"/>
                <w:color w:val="000000"/>
                <w:sz w:val="20"/>
                <w:szCs w:val="20"/>
                <w:lang w:val="ro-RO"/>
                <w14:ligatures w14:val="none"/>
              </w:rPr>
              <w:lastRenderedPageBreak/>
              <w:t>pe principiul simulării situațiilor cu tactici aplicare/folosire armă de foc</w:t>
            </w:r>
          </w:p>
          <w:p w14:paraId="52834352" w14:textId="1CD8F232" w:rsidR="003C3115" w:rsidRPr="000C6E07" w:rsidRDefault="003C3115"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843" w:type="dxa"/>
            <w:tcBorders>
              <w:top w:val="nil"/>
              <w:left w:val="nil"/>
              <w:bottom w:val="single" w:sz="4" w:space="0" w:color="auto"/>
              <w:right w:val="single" w:sz="4" w:space="0" w:color="auto"/>
            </w:tcBorders>
            <w:vAlign w:val="center"/>
            <w:hideMark/>
          </w:tcPr>
          <w:p w14:paraId="29A43471" w14:textId="7FDC5363" w:rsidR="003C3115" w:rsidRDefault="003C3115" w:rsidP="00A5450C">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Concept unic al pregătirii profesionale aprobat</w:t>
            </w:r>
            <w:r w:rsidRPr="00A5450C">
              <w:rPr>
                <w:rFonts w:eastAsia="Times New Roman" w:cs="Times New Roman"/>
                <w:color w:val="000000"/>
                <w:sz w:val="20"/>
                <w:szCs w:val="20"/>
                <w:lang w:val="ro-RO"/>
                <w14:ligatures w14:val="none"/>
              </w:rPr>
              <w:t xml:space="preserve"> </w:t>
            </w:r>
          </w:p>
          <w:p w14:paraId="11E1993B" w14:textId="77777777" w:rsidR="003C3115" w:rsidRPr="00A5450C" w:rsidRDefault="003C3115" w:rsidP="00A5450C">
            <w:pPr>
              <w:spacing w:after="0"/>
              <w:jc w:val="center"/>
              <w:rPr>
                <w:rFonts w:eastAsia="Times New Roman" w:cs="Times New Roman"/>
                <w:color w:val="000000"/>
                <w:sz w:val="20"/>
                <w:szCs w:val="20"/>
                <w:lang w:val="ro-RO"/>
                <w14:ligatures w14:val="none"/>
              </w:rPr>
            </w:pPr>
          </w:p>
          <w:p w14:paraId="65248D57" w14:textId="77777777" w:rsidR="003C3115" w:rsidRPr="00A5450C" w:rsidRDefault="003C3115" w:rsidP="00A5450C">
            <w:pPr>
              <w:spacing w:after="0"/>
              <w:rPr>
                <w:rFonts w:eastAsia="Times New Roman" w:cs="Times New Roman"/>
                <w:color w:val="000000"/>
                <w:sz w:val="20"/>
                <w:szCs w:val="20"/>
                <w:lang w:val="ro-RO"/>
                <w14:ligatures w14:val="none"/>
              </w:rPr>
            </w:pPr>
          </w:p>
          <w:p w14:paraId="10BA6F78" w14:textId="77777777" w:rsidR="003C3115" w:rsidRPr="000C6E07" w:rsidRDefault="003C3115" w:rsidP="00761440">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B52F76E"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8EB1094"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0CE7BA8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0EBD92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2F6C6FE"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303CFAF5"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E744612"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B0FBCD"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B8CA74"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3B9BF5"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6DADB58" w14:textId="0E80DF1A" w:rsidR="003C3115" w:rsidRPr="000C6E07" w:rsidRDefault="003C3115" w:rsidP="00761440">
            <w:pPr>
              <w:spacing w:after="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t>Trimestrul IV, 2026</w:t>
            </w:r>
          </w:p>
        </w:tc>
        <w:tc>
          <w:tcPr>
            <w:tcW w:w="1162" w:type="dxa"/>
            <w:vMerge w:val="restart"/>
            <w:tcBorders>
              <w:top w:val="nil"/>
              <w:left w:val="single" w:sz="4" w:space="0" w:color="auto"/>
              <w:bottom w:val="single" w:sz="4" w:space="0" w:color="000000"/>
              <w:right w:val="single" w:sz="4" w:space="0" w:color="auto"/>
            </w:tcBorders>
            <w:vAlign w:val="center"/>
            <w:hideMark/>
          </w:tcPr>
          <w:p w14:paraId="451DBAE6"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3C3115" w:rsidRPr="000C6E07" w14:paraId="75DD9374" w14:textId="77777777" w:rsidTr="002E4166">
        <w:trPr>
          <w:trHeight w:val="290"/>
        </w:trPr>
        <w:tc>
          <w:tcPr>
            <w:tcW w:w="568" w:type="dxa"/>
            <w:vMerge/>
            <w:tcBorders>
              <w:left w:val="single" w:sz="4" w:space="0" w:color="auto"/>
              <w:right w:val="single" w:sz="4" w:space="0" w:color="auto"/>
            </w:tcBorders>
            <w:hideMark/>
          </w:tcPr>
          <w:p w14:paraId="007F4E66" w14:textId="77777777" w:rsidR="003C3115" w:rsidRPr="000C6E07" w:rsidRDefault="003C3115"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2EEF4FAF" w14:textId="544280B3" w:rsidR="003C3115" w:rsidRPr="000C6E07" w:rsidRDefault="003C3115" w:rsidP="00761440">
            <w:pPr>
              <w:spacing w:after="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2DD0C1FF"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Echipament pentru pregătirea tactică achiziționat </w:t>
            </w:r>
            <w:r w:rsidRPr="000C6E07">
              <w:rPr>
                <w:rFonts w:eastAsia="Times New Roman" w:cs="Times New Roman"/>
                <w:color w:val="000000"/>
                <w:sz w:val="20"/>
                <w:szCs w:val="20"/>
                <w:lang w:val="ro-RO"/>
                <w14:ligatures w14:val="none"/>
              </w:rPr>
              <w:lastRenderedPageBreak/>
              <w:t>conform conceptului aprobat</w:t>
            </w:r>
          </w:p>
        </w:tc>
        <w:tc>
          <w:tcPr>
            <w:tcW w:w="1026" w:type="dxa"/>
            <w:tcBorders>
              <w:top w:val="nil"/>
              <w:left w:val="nil"/>
              <w:bottom w:val="single" w:sz="4" w:space="0" w:color="auto"/>
              <w:right w:val="single" w:sz="4" w:space="0" w:color="auto"/>
            </w:tcBorders>
            <w:vAlign w:val="center"/>
            <w:hideMark/>
          </w:tcPr>
          <w:p w14:paraId="3CAF1550"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3.150,0</w:t>
            </w:r>
          </w:p>
        </w:tc>
        <w:tc>
          <w:tcPr>
            <w:tcW w:w="1100" w:type="dxa"/>
            <w:tcBorders>
              <w:top w:val="nil"/>
              <w:left w:val="nil"/>
              <w:bottom w:val="single" w:sz="4" w:space="0" w:color="auto"/>
              <w:right w:val="single" w:sz="4" w:space="0" w:color="auto"/>
            </w:tcBorders>
            <w:vAlign w:val="center"/>
            <w:hideMark/>
          </w:tcPr>
          <w:p w14:paraId="23D16CB4"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3.150,0</w:t>
            </w:r>
          </w:p>
        </w:tc>
        <w:tc>
          <w:tcPr>
            <w:tcW w:w="1015" w:type="dxa"/>
            <w:vMerge w:val="restart"/>
            <w:tcBorders>
              <w:top w:val="nil"/>
              <w:left w:val="single" w:sz="4" w:space="0" w:color="auto"/>
              <w:bottom w:val="single" w:sz="4" w:space="0" w:color="auto"/>
              <w:right w:val="single" w:sz="4" w:space="0" w:color="auto"/>
            </w:tcBorders>
            <w:vAlign w:val="center"/>
            <w:hideMark/>
          </w:tcPr>
          <w:p w14:paraId="3443EDE3"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2D09F5A8" w14:textId="77777777" w:rsidR="003C3115" w:rsidRPr="000C6E07" w:rsidRDefault="003C3115" w:rsidP="00761440">
            <w:pPr>
              <w:spacing w:after="0"/>
              <w:jc w:val="center"/>
              <w:rPr>
                <w:rFonts w:eastAsia="Times New Roman" w:cs="Times New Roman"/>
                <w:color w:val="FF0000"/>
                <w:sz w:val="20"/>
                <w:szCs w:val="20"/>
                <w:lang w:val="ro-RO"/>
                <w14:ligatures w14:val="none"/>
              </w:rPr>
            </w:pPr>
            <w:r w:rsidRPr="000C6E07">
              <w:rPr>
                <w:rFonts w:eastAsia="Times New Roman" w:cs="Times New Roman"/>
                <w:color w:val="FF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221FFDA"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1D613586"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4F1BBD"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3.150,0</w:t>
            </w:r>
          </w:p>
        </w:tc>
        <w:tc>
          <w:tcPr>
            <w:tcW w:w="1000" w:type="dxa"/>
            <w:vMerge w:val="restart"/>
            <w:tcBorders>
              <w:top w:val="nil"/>
              <w:left w:val="single" w:sz="4" w:space="0" w:color="auto"/>
              <w:bottom w:val="single" w:sz="4" w:space="0" w:color="auto"/>
              <w:right w:val="single" w:sz="4" w:space="0" w:color="auto"/>
            </w:tcBorders>
            <w:vAlign w:val="center"/>
            <w:hideMark/>
          </w:tcPr>
          <w:p w14:paraId="36E7F522"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BB3DA2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3DC55BAB"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575A83DD"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tcBorders>
              <w:top w:val="nil"/>
              <w:left w:val="single" w:sz="4" w:space="0" w:color="auto"/>
              <w:bottom w:val="single" w:sz="4" w:space="0" w:color="000000"/>
              <w:right w:val="single" w:sz="4" w:space="0" w:color="auto"/>
            </w:tcBorders>
            <w:vAlign w:val="center"/>
            <w:hideMark/>
          </w:tcPr>
          <w:p w14:paraId="46819FD5" w14:textId="77777777" w:rsidR="003C3115" w:rsidRPr="000C6E07" w:rsidRDefault="003C3115" w:rsidP="00761440">
            <w:pPr>
              <w:spacing w:after="0"/>
              <w:rPr>
                <w:rFonts w:eastAsia="Times New Roman" w:cs="Times New Roman"/>
                <w:color w:val="000000"/>
                <w:sz w:val="20"/>
                <w:szCs w:val="20"/>
                <w:lang w:val="ro-RO"/>
                <w14:ligatures w14:val="none"/>
              </w:rPr>
            </w:pPr>
          </w:p>
        </w:tc>
      </w:tr>
      <w:tr w:rsidR="003C3115" w:rsidRPr="000C6E07" w14:paraId="096D389D" w14:textId="77777777" w:rsidTr="002E4166">
        <w:trPr>
          <w:trHeight w:val="290"/>
        </w:trPr>
        <w:tc>
          <w:tcPr>
            <w:tcW w:w="568" w:type="dxa"/>
            <w:vMerge/>
            <w:tcBorders>
              <w:left w:val="single" w:sz="4" w:space="0" w:color="auto"/>
              <w:right w:val="single" w:sz="4" w:space="0" w:color="auto"/>
            </w:tcBorders>
            <w:hideMark/>
          </w:tcPr>
          <w:p w14:paraId="506ECA9E" w14:textId="77777777" w:rsidR="003C3115" w:rsidRPr="000C6E07" w:rsidRDefault="003C3115"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vAlign w:val="center"/>
            <w:hideMark/>
          </w:tcPr>
          <w:p w14:paraId="455FE471" w14:textId="39C7C67F" w:rsidR="003C3115" w:rsidRPr="000C6E07" w:rsidRDefault="003C3115" w:rsidP="00761440">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0ACBA31D"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413D3DC4"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945,0</w:t>
            </w:r>
          </w:p>
        </w:tc>
        <w:tc>
          <w:tcPr>
            <w:tcW w:w="1100" w:type="dxa"/>
            <w:tcBorders>
              <w:top w:val="nil"/>
              <w:left w:val="nil"/>
              <w:bottom w:val="single" w:sz="4" w:space="0" w:color="auto"/>
              <w:right w:val="single" w:sz="4" w:space="0" w:color="auto"/>
            </w:tcBorders>
            <w:vAlign w:val="center"/>
            <w:hideMark/>
          </w:tcPr>
          <w:p w14:paraId="657764D0"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945,0</w:t>
            </w:r>
          </w:p>
        </w:tc>
        <w:tc>
          <w:tcPr>
            <w:tcW w:w="1015" w:type="dxa"/>
            <w:vMerge/>
            <w:tcBorders>
              <w:top w:val="nil"/>
              <w:left w:val="single" w:sz="4" w:space="0" w:color="auto"/>
              <w:bottom w:val="single" w:sz="4" w:space="0" w:color="auto"/>
              <w:right w:val="single" w:sz="4" w:space="0" w:color="auto"/>
            </w:tcBorders>
            <w:vAlign w:val="center"/>
            <w:hideMark/>
          </w:tcPr>
          <w:p w14:paraId="30636CE2"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7154F476" w14:textId="77777777" w:rsidR="003C3115" w:rsidRPr="000C6E07" w:rsidRDefault="003C3115" w:rsidP="00761440">
            <w:pPr>
              <w:spacing w:after="0"/>
              <w:rPr>
                <w:rFonts w:eastAsia="Times New Roman" w:cs="Times New Roman"/>
                <w:color w:val="FF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63335551"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vMerge/>
            <w:tcBorders>
              <w:top w:val="nil"/>
              <w:left w:val="single" w:sz="4" w:space="0" w:color="auto"/>
              <w:bottom w:val="single" w:sz="4" w:space="0" w:color="auto"/>
              <w:right w:val="single" w:sz="4" w:space="0" w:color="auto"/>
            </w:tcBorders>
            <w:vAlign w:val="center"/>
            <w:hideMark/>
          </w:tcPr>
          <w:p w14:paraId="435CE768"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5E265898" w14:textId="77777777" w:rsidR="003C3115" w:rsidRPr="000C6E07" w:rsidRDefault="003C3115"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945,0</w:t>
            </w:r>
          </w:p>
        </w:tc>
        <w:tc>
          <w:tcPr>
            <w:tcW w:w="1000" w:type="dxa"/>
            <w:vMerge/>
            <w:tcBorders>
              <w:top w:val="nil"/>
              <w:left w:val="single" w:sz="4" w:space="0" w:color="auto"/>
              <w:bottom w:val="single" w:sz="4" w:space="0" w:color="auto"/>
              <w:right w:val="single" w:sz="4" w:space="0" w:color="auto"/>
            </w:tcBorders>
            <w:vAlign w:val="center"/>
            <w:hideMark/>
          </w:tcPr>
          <w:p w14:paraId="0021BAEE"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90CEBAB"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6FB9C33B"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44839AEE"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07DB76E7" w14:textId="77777777" w:rsidR="003C3115" w:rsidRPr="000C6E07" w:rsidRDefault="003C3115" w:rsidP="00761440">
            <w:pPr>
              <w:spacing w:after="0"/>
              <w:rPr>
                <w:rFonts w:eastAsia="Times New Roman" w:cs="Times New Roman"/>
                <w:color w:val="000000"/>
                <w:sz w:val="20"/>
                <w:szCs w:val="20"/>
                <w:lang w:val="ro-RO"/>
                <w14:ligatures w14:val="none"/>
              </w:rPr>
            </w:pPr>
          </w:p>
        </w:tc>
      </w:tr>
      <w:tr w:rsidR="003C3115" w:rsidRPr="000C6E07" w14:paraId="3CE2B606" w14:textId="77777777" w:rsidTr="002E4166">
        <w:trPr>
          <w:trHeight w:val="1820"/>
        </w:trPr>
        <w:tc>
          <w:tcPr>
            <w:tcW w:w="568" w:type="dxa"/>
            <w:vMerge/>
            <w:tcBorders>
              <w:left w:val="single" w:sz="4" w:space="0" w:color="auto"/>
              <w:right w:val="single" w:sz="4" w:space="0" w:color="auto"/>
            </w:tcBorders>
            <w:hideMark/>
          </w:tcPr>
          <w:p w14:paraId="3E219775" w14:textId="5D197D74" w:rsidR="003C3115" w:rsidRPr="003C3115" w:rsidRDefault="003C3115" w:rsidP="003C3115">
            <w:pPr>
              <w:spacing w:after="0"/>
              <w:ind w:left="360"/>
              <w:rPr>
                <w:rFonts w:eastAsia="Times New Roman" w:cs="Times New Roman"/>
                <w:color w:val="000000"/>
                <w:sz w:val="20"/>
                <w:szCs w:val="20"/>
                <w:lang w:val="ro-RO"/>
                <w14:ligatures w14:val="none"/>
              </w:rPr>
            </w:pPr>
          </w:p>
        </w:tc>
        <w:tc>
          <w:tcPr>
            <w:tcW w:w="1417" w:type="dxa"/>
            <w:vMerge/>
            <w:tcBorders>
              <w:left w:val="single" w:sz="4" w:space="0" w:color="auto"/>
              <w:right w:val="single" w:sz="4" w:space="0" w:color="auto"/>
            </w:tcBorders>
            <w:hideMark/>
          </w:tcPr>
          <w:p w14:paraId="29BC34BA" w14:textId="732E5DFD" w:rsidR="003C3115" w:rsidRPr="000C6E07" w:rsidRDefault="003C3115"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43F9984"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 pentru integrarea în programul de formare a judecătorilor și procurorilor  referitor la tacticile de bază ale intervențiilor angajaților MAI elaborat.</w:t>
            </w:r>
          </w:p>
        </w:tc>
        <w:tc>
          <w:tcPr>
            <w:tcW w:w="1026" w:type="dxa"/>
            <w:tcBorders>
              <w:top w:val="nil"/>
              <w:left w:val="nil"/>
              <w:bottom w:val="single" w:sz="4" w:space="0" w:color="auto"/>
              <w:right w:val="single" w:sz="4" w:space="0" w:color="auto"/>
            </w:tcBorders>
            <w:vAlign w:val="center"/>
            <w:hideMark/>
          </w:tcPr>
          <w:p w14:paraId="06F11D8C" w14:textId="77777777" w:rsidR="003C3115" w:rsidRPr="003C3115" w:rsidRDefault="003C3115" w:rsidP="00761440">
            <w:pPr>
              <w:spacing w:after="0"/>
              <w:jc w:val="center"/>
              <w:rPr>
                <w:rFonts w:eastAsia="Times New Roman" w:cs="Times New Roman"/>
                <w:color w:val="0070C0"/>
                <w:sz w:val="20"/>
                <w:szCs w:val="20"/>
                <w:lang w:val="ro-RO"/>
                <w14:ligatures w14:val="none"/>
              </w:rPr>
            </w:pPr>
            <w:r w:rsidRPr="003C3115">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6B072700" w14:textId="77777777" w:rsidR="003C3115" w:rsidRPr="003C3115" w:rsidRDefault="003C3115" w:rsidP="00761440">
            <w:pPr>
              <w:spacing w:after="0"/>
              <w:jc w:val="center"/>
              <w:rPr>
                <w:rFonts w:eastAsia="Times New Roman" w:cs="Times New Roman"/>
                <w:color w:val="0070C0"/>
                <w:sz w:val="20"/>
                <w:szCs w:val="20"/>
                <w:lang w:val="ro-RO"/>
                <w14:ligatures w14:val="none"/>
              </w:rPr>
            </w:pPr>
            <w:r w:rsidRPr="003C3115">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0C700C1C" w14:textId="77777777" w:rsidR="003C3115" w:rsidRPr="003C3115" w:rsidRDefault="003C3115" w:rsidP="00761440">
            <w:pPr>
              <w:spacing w:after="0"/>
              <w:jc w:val="center"/>
              <w:rPr>
                <w:rFonts w:eastAsia="Times New Roman" w:cs="Times New Roman"/>
                <w:sz w:val="20"/>
                <w:szCs w:val="20"/>
                <w:lang w:val="ro-RO"/>
                <w14:ligatures w14:val="none"/>
              </w:rPr>
            </w:pPr>
            <w:r w:rsidRPr="003C3115">
              <w:rPr>
                <w:rFonts w:eastAsia="Times New Roman" w:cs="Times New Roman"/>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18D513C" w14:textId="77777777" w:rsidR="003C3115" w:rsidRPr="003C3115" w:rsidRDefault="003C3115" w:rsidP="00761440">
            <w:pPr>
              <w:spacing w:after="0"/>
              <w:jc w:val="center"/>
              <w:rPr>
                <w:rFonts w:eastAsia="Times New Roman" w:cs="Times New Roman"/>
                <w:sz w:val="20"/>
                <w:szCs w:val="20"/>
                <w:lang w:val="ro-RO"/>
                <w14:ligatures w14:val="none"/>
              </w:rPr>
            </w:pPr>
            <w:r w:rsidRPr="003C3115">
              <w:rPr>
                <w:rFonts w:eastAsia="Times New Roman" w:cs="Times New Roman"/>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0163633" w14:textId="770D4ECF" w:rsidR="003C3115" w:rsidRPr="003C3115" w:rsidRDefault="003C3115" w:rsidP="00761440">
            <w:pPr>
              <w:spacing w:after="0"/>
              <w:jc w:val="center"/>
              <w:rPr>
                <w:rFonts w:eastAsia="Times New Roman" w:cs="Times New Roman"/>
                <w:sz w:val="20"/>
                <w:szCs w:val="20"/>
                <w:lang w:val="ro-RO"/>
                <w14:ligatures w14:val="none"/>
              </w:rPr>
            </w:pPr>
            <w:r w:rsidRPr="003C3115">
              <w:rPr>
                <w:rFonts w:eastAsia="Times New Roman" w:cs="Times New Roman"/>
                <w:sz w:val="20"/>
                <w:szCs w:val="20"/>
                <w:lang w:val="ro-RO"/>
                <w14:ligatures w14:val="none"/>
              </w:rPr>
              <w:t>4012</w:t>
            </w:r>
          </w:p>
          <w:p w14:paraId="65723413" w14:textId="12985CCD" w:rsidR="003C3115" w:rsidRPr="003C3115" w:rsidRDefault="003C3115" w:rsidP="00761440">
            <w:pPr>
              <w:spacing w:after="0"/>
              <w:jc w:val="center"/>
              <w:rPr>
                <w:rFonts w:eastAsia="Times New Roman" w:cs="Times New Roman"/>
                <w:sz w:val="20"/>
                <w:szCs w:val="20"/>
                <w:lang w:val="ro-RO"/>
                <w14:ligatures w14:val="none"/>
              </w:rPr>
            </w:pPr>
            <w:r w:rsidRPr="003C3115">
              <w:rPr>
                <w:rFonts w:eastAsia="Times New Roman" w:cs="Times New Roman"/>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6944AF77" w14:textId="77777777" w:rsidR="003C3115" w:rsidRPr="003C3115" w:rsidRDefault="003C3115" w:rsidP="00761440">
            <w:pPr>
              <w:spacing w:after="0"/>
              <w:jc w:val="center"/>
              <w:rPr>
                <w:rFonts w:eastAsia="Times New Roman" w:cs="Times New Roman"/>
                <w:sz w:val="20"/>
                <w:szCs w:val="20"/>
                <w:lang w:val="ro-RO"/>
                <w14:ligatures w14:val="none"/>
              </w:rPr>
            </w:pPr>
            <w:r w:rsidRPr="003C3115">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0C5E05" w14:textId="77777777" w:rsidR="003C3115" w:rsidRPr="003C3115" w:rsidRDefault="003C3115" w:rsidP="00761440">
            <w:pPr>
              <w:spacing w:after="0"/>
              <w:jc w:val="center"/>
              <w:rPr>
                <w:rFonts w:eastAsia="Times New Roman" w:cs="Times New Roman"/>
                <w:color w:val="0070C0"/>
                <w:sz w:val="20"/>
                <w:szCs w:val="20"/>
                <w:lang w:val="ro-RO"/>
                <w14:ligatures w14:val="none"/>
              </w:rPr>
            </w:pPr>
            <w:r w:rsidRPr="003C3115">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747FADF8" w14:textId="77777777" w:rsidR="003C3115" w:rsidRPr="003C3115" w:rsidRDefault="003C3115" w:rsidP="00761440">
            <w:pPr>
              <w:spacing w:after="0"/>
              <w:jc w:val="center"/>
              <w:rPr>
                <w:rFonts w:eastAsia="Times New Roman" w:cs="Times New Roman"/>
                <w:color w:val="0070C0"/>
                <w:sz w:val="20"/>
                <w:szCs w:val="20"/>
                <w:lang w:val="ro-RO"/>
                <w14:ligatures w14:val="none"/>
              </w:rPr>
            </w:pPr>
            <w:r w:rsidRPr="003C3115">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42003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C0F71BC"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78B09C5"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2027</w:t>
            </w:r>
          </w:p>
        </w:tc>
        <w:tc>
          <w:tcPr>
            <w:tcW w:w="1162" w:type="dxa"/>
            <w:vMerge w:val="restart"/>
            <w:tcBorders>
              <w:top w:val="nil"/>
              <w:left w:val="single" w:sz="4" w:space="0" w:color="auto"/>
              <w:bottom w:val="single" w:sz="4" w:space="0" w:color="000000"/>
              <w:right w:val="single" w:sz="4" w:space="0" w:color="auto"/>
            </w:tcBorders>
            <w:vAlign w:val="center"/>
            <w:hideMark/>
          </w:tcPr>
          <w:p w14:paraId="6C02A78D"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Institutul Național de Justiție; Ministerul Afacerilor Interne; Consiliul Superior al Magistraturii; Consiliul Superior al Procurorilor; Procuratura Generală;</w:t>
            </w:r>
          </w:p>
        </w:tc>
      </w:tr>
      <w:tr w:rsidR="003C3115" w:rsidRPr="000C6E07" w14:paraId="2520AE08" w14:textId="77777777" w:rsidTr="002E4166">
        <w:trPr>
          <w:trHeight w:val="2080"/>
        </w:trPr>
        <w:tc>
          <w:tcPr>
            <w:tcW w:w="568" w:type="dxa"/>
            <w:vMerge/>
            <w:tcBorders>
              <w:left w:val="single" w:sz="4" w:space="0" w:color="auto"/>
              <w:bottom w:val="single" w:sz="4" w:space="0" w:color="auto"/>
              <w:right w:val="single" w:sz="4" w:space="0" w:color="auto"/>
            </w:tcBorders>
            <w:hideMark/>
          </w:tcPr>
          <w:p w14:paraId="606DC9F0" w14:textId="77777777" w:rsidR="003C3115" w:rsidRPr="000C6E07" w:rsidRDefault="003C3115"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single" w:sz="4" w:space="0" w:color="auto"/>
              <w:bottom w:val="single" w:sz="4" w:space="0" w:color="auto"/>
              <w:right w:val="single" w:sz="4" w:space="0" w:color="auto"/>
            </w:tcBorders>
            <w:vAlign w:val="center"/>
            <w:hideMark/>
          </w:tcPr>
          <w:p w14:paraId="6EE8DA25" w14:textId="77777777" w:rsidR="003C3115" w:rsidRPr="000C6E07" w:rsidRDefault="003C3115"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605B51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Subiectul privind tacticile de bază ale intervențiilor MAI integrat în programul Institutului Național de Justiție de formare a judecătorilor și procurorilor  </w:t>
            </w:r>
          </w:p>
        </w:tc>
        <w:tc>
          <w:tcPr>
            <w:tcW w:w="1026" w:type="dxa"/>
            <w:tcBorders>
              <w:top w:val="nil"/>
              <w:left w:val="nil"/>
              <w:bottom w:val="single" w:sz="4" w:space="0" w:color="auto"/>
              <w:right w:val="single" w:sz="4" w:space="0" w:color="auto"/>
            </w:tcBorders>
            <w:vAlign w:val="center"/>
            <w:hideMark/>
          </w:tcPr>
          <w:p w14:paraId="5401836E"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591BFCD5"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1BF6A7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764576F"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CF41BD4" w14:textId="77777777" w:rsidR="003C3115" w:rsidRDefault="003C3115" w:rsidP="005274CE">
            <w:pPr>
              <w:spacing w:after="0"/>
              <w:jc w:val="center"/>
              <w:rPr>
                <w:rFonts w:eastAsia="Times New Roman" w:cs="Times New Roman"/>
                <w:color w:val="000000"/>
                <w:sz w:val="20"/>
                <w:szCs w:val="20"/>
                <w:lang w:val="ro-RO"/>
                <w14:ligatures w14:val="none"/>
              </w:rPr>
            </w:pPr>
            <w:r w:rsidRPr="005274CE">
              <w:rPr>
                <w:rFonts w:eastAsia="Times New Roman" w:cs="Times New Roman"/>
                <w:color w:val="000000"/>
                <w:sz w:val="20"/>
                <w:szCs w:val="20"/>
                <w:lang w:val="ro-RO"/>
                <w14:ligatures w14:val="none"/>
              </w:rPr>
              <w:t>4012</w:t>
            </w:r>
          </w:p>
          <w:p w14:paraId="6F7B0EFE" w14:textId="0698BF6B" w:rsidR="003C3115" w:rsidRPr="000C6E07" w:rsidRDefault="003C3115" w:rsidP="00761440">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5EFB2606"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3EEA8D7"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D03930"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02ED4A9"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A1124B"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14771E2" w14:textId="77777777" w:rsidR="003C3115" w:rsidRPr="000C6E07" w:rsidRDefault="003C3115"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vMerge/>
            <w:tcBorders>
              <w:top w:val="nil"/>
              <w:left w:val="single" w:sz="4" w:space="0" w:color="auto"/>
              <w:bottom w:val="single" w:sz="4" w:space="0" w:color="000000"/>
              <w:right w:val="single" w:sz="4" w:space="0" w:color="auto"/>
            </w:tcBorders>
            <w:vAlign w:val="center"/>
            <w:hideMark/>
          </w:tcPr>
          <w:p w14:paraId="1CE8AC24" w14:textId="77777777" w:rsidR="003C3115" w:rsidRPr="000C6E07" w:rsidRDefault="003C3115" w:rsidP="00761440">
            <w:pPr>
              <w:spacing w:after="0"/>
              <w:rPr>
                <w:rFonts w:eastAsia="Times New Roman" w:cs="Times New Roman"/>
                <w:color w:val="000000"/>
                <w:sz w:val="20"/>
                <w:szCs w:val="20"/>
                <w:lang w:val="ro-RO"/>
                <w14:ligatures w14:val="none"/>
              </w:rPr>
            </w:pPr>
          </w:p>
        </w:tc>
      </w:tr>
      <w:tr w:rsidR="00761440" w:rsidRPr="000C6E07" w14:paraId="53FADA77"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71C13149" w14:textId="2F6D0590"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B8CA932"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Consolidarea capacităților chinologilor pentru creșterea calității intervențiilor </w:t>
            </w:r>
          </w:p>
        </w:tc>
        <w:tc>
          <w:tcPr>
            <w:tcW w:w="1843" w:type="dxa"/>
            <w:tcBorders>
              <w:top w:val="nil"/>
              <w:left w:val="nil"/>
              <w:bottom w:val="single" w:sz="4" w:space="0" w:color="auto"/>
              <w:right w:val="single" w:sz="4" w:space="0" w:color="auto"/>
            </w:tcBorders>
            <w:vAlign w:val="center"/>
            <w:hideMark/>
          </w:tcPr>
          <w:p w14:paraId="7E43976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Centrul chinologic al IGP renovat și operaționalizat în conformitate cu standardele UE</w:t>
            </w:r>
          </w:p>
        </w:tc>
        <w:tc>
          <w:tcPr>
            <w:tcW w:w="1026" w:type="dxa"/>
            <w:tcBorders>
              <w:top w:val="nil"/>
              <w:left w:val="nil"/>
              <w:bottom w:val="single" w:sz="4" w:space="0" w:color="auto"/>
              <w:right w:val="single" w:sz="4" w:space="0" w:color="auto"/>
            </w:tcBorders>
            <w:vAlign w:val="center"/>
            <w:hideMark/>
          </w:tcPr>
          <w:p w14:paraId="0213A1F6"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100" w:type="dxa"/>
            <w:tcBorders>
              <w:top w:val="nil"/>
              <w:left w:val="nil"/>
              <w:bottom w:val="single" w:sz="4" w:space="0" w:color="auto"/>
              <w:right w:val="single" w:sz="4" w:space="0" w:color="auto"/>
            </w:tcBorders>
            <w:vAlign w:val="center"/>
            <w:hideMark/>
          </w:tcPr>
          <w:p w14:paraId="46390A8C"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5566ED6"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922" w:type="dxa"/>
            <w:tcBorders>
              <w:top w:val="nil"/>
              <w:left w:val="nil"/>
              <w:bottom w:val="single" w:sz="4" w:space="0" w:color="auto"/>
              <w:right w:val="single" w:sz="4" w:space="0" w:color="auto"/>
            </w:tcBorders>
            <w:vAlign w:val="center"/>
            <w:hideMark/>
          </w:tcPr>
          <w:p w14:paraId="2FE6C74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377F032" w14:textId="77777777" w:rsidR="00761440" w:rsidRPr="000C6E07" w:rsidRDefault="00761440" w:rsidP="00761440">
            <w:pPr>
              <w:spacing w:after="0"/>
              <w:jc w:val="center"/>
              <w:rPr>
                <w:rFonts w:eastAsia="Times New Roman" w:cs="Times New Roman"/>
                <w:color w:val="000000"/>
                <w:sz w:val="20"/>
                <w:szCs w:val="20"/>
                <w:lang w:val="ro-RO"/>
                <w14:ligatures w14:val="none"/>
              </w:rPr>
            </w:pPr>
            <w:bookmarkStart w:id="7" w:name="_Hlk203570417"/>
            <w:r w:rsidRPr="000C6E07">
              <w:rPr>
                <w:rFonts w:eastAsia="Times New Roman" w:cs="Times New Roman"/>
                <w:color w:val="000000"/>
                <w:sz w:val="20"/>
                <w:szCs w:val="20"/>
                <w:lang w:val="ro-RO"/>
                <w14:ligatures w14:val="none"/>
              </w:rPr>
              <w:t>OSCE Biroul Federal German</w:t>
            </w:r>
            <w:bookmarkEnd w:id="7"/>
          </w:p>
        </w:tc>
        <w:tc>
          <w:tcPr>
            <w:tcW w:w="1000" w:type="dxa"/>
            <w:tcBorders>
              <w:top w:val="nil"/>
              <w:left w:val="nil"/>
              <w:bottom w:val="single" w:sz="4" w:space="0" w:color="auto"/>
              <w:right w:val="single" w:sz="4" w:space="0" w:color="auto"/>
            </w:tcBorders>
            <w:vAlign w:val="center"/>
            <w:hideMark/>
          </w:tcPr>
          <w:p w14:paraId="6B467C3D"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A191458"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000" w:type="dxa"/>
            <w:tcBorders>
              <w:top w:val="nil"/>
              <w:left w:val="nil"/>
              <w:bottom w:val="single" w:sz="4" w:space="0" w:color="auto"/>
              <w:right w:val="single" w:sz="4" w:space="0" w:color="auto"/>
            </w:tcBorders>
            <w:vAlign w:val="center"/>
            <w:hideMark/>
          </w:tcPr>
          <w:p w14:paraId="7F2E21E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7D75BA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E4137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7CBE1D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2027</w:t>
            </w:r>
          </w:p>
        </w:tc>
        <w:tc>
          <w:tcPr>
            <w:tcW w:w="1162" w:type="dxa"/>
            <w:tcBorders>
              <w:top w:val="nil"/>
              <w:left w:val="nil"/>
              <w:bottom w:val="single" w:sz="4" w:space="0" w:color="auto"/>
              <w:right w:val="single" w:sz="4" w:space="0" w:color="auto"/>
            </w:tcBorders>
            <w:vAlign w:val="center"/>
            <w:hideMark/>
          </w:tcPr>
          <w:p w14:paraId="1C11E0C9" w14:textId="77777777" w:rsidR="00613242" w:rsidRDefault="00761440" w:rsidP="0061324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00613242">
              <w:rPr>
                <w:rFonts w:eastAsia="Times New Roman" w:cs="Times New Roman"/>
                <w:color w:val="000000"/>
                <w:sz w:val="20"/>
                <w:szCs w:val="20"/>
                <w:lang w:val="ro-RO"/>
                <w14:ligatures w14:val="none"/>
              </w:rPr>
              <w:t>;</w:t>
            </w:r>
          </w:p>
          <w:p w14:paraId="116339A2" w14:textId="77777777" w:rsidR="00613242" w:rsidRDefault="00613242" w:rsidP="00613242">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OSCE;</w:t>
            </w:r>
          </w:p>
          <w:p w14:paraId="73A31F76" w14:textId="26A6AF7B" w:rsidR="00613242" w:rsidRPr="000C6E07" w:rsidRDefault="00613242" w:rsidP="00613242">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Biroul Federal German</w:t>
            </w:r>
          </w:p>
        </w:tc>
      </w:tr>
      <w:tr w:rsidR="00761440" w:rsidRPr="000C6E07" w14:paraId="00775E89" w14:textId="77777777" w:rsidTr="00BA5CC8">
        <w:trPr>
          <w:trHeight w:val="780"/>
        </w:trPr>
        <w:tc>
          <w:tcPr>
            <w:tcW w:w="568" w:type="dxa"/>
            <w:vMerge/>
            <w:tcBorders>
              <w:top w:val="nil"/>
              <w:left w:val="single" w:sz="4" w:space="0" w:color="auto"/>
              <w:bottom w:val="single" w:sz="4" w:space="0" w:color="auto"/>
              <w:right w:val="single" w:sz="4" w:space="0" w:color="auto"/>
            </w:tcBorders>
            <w:hideMark/>
          </w:tcPr>
          <w:p w14:paraId="599BF6F3" w14:textId="77777777"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F5D9B72" w14:textId="77777777" w:rsidR="00761440" w:rsidRPr="000C6E07" w:rsidRDefault="00761440" w:rsidP="0076144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5215614" w14:textId="629583DC" w:rsidR="00761440" w:rsidRPr="000C6E07" w:rsidRDefault="0058254F" w:rsidP="00761440">
            <w:pPr>
              <w:spacing w:after="0"/>
              <w:jc w:val="center"/>
              <w:rPr>
                <w:rFonts w:eastAsia="Times New Roman" w:cs="Times New Roman"/>
                <w:color w:val="000000"/>
                <w:sz w:val="20"/>
                <w:szCs w:val="20"/>
                <w:lang w:val="ro-RO"/>
                <w14:ligatures w14:val="none"/>
              </w:rPr>
            </w:pPr>
            <w:r w:rsidRPr="003C3115">
              <w:rPr>
                <w:rFonts w:eastAsia="Times New Roman" w:cs="Times New Roman"/>
                <w:color w:val="000000"/>
                <w:sz w:val="20"/>
                <w:szCs w:val="20"/>
                <w:lang w:val="ro-RO"/>
                <w14:ligatures w14:val="none"/>
              </w:rPr>
              <w:t>Cel puțin 8</w:t>
            </w:r>
            <w:r w:rsidR="00761440" w:rsidRPr="003C3115">
              <w:rPr>
                <w:rFonts w:eastAsia="Times New Roman" w:cs="Times New Roman"/>
                <w:color w:val="000000"/>
                <w:sz w:val="20"/>
                <w:szCs w:val="20"/>
                <w:lang w:val="ro-RO"/>
                <w14:ligatures w14:val="none"/>
              </w:rPr>
              <w:t>0% chinologi instruiți pentru dezvoltarea abilităților</w:t>
            </w:r>
            <w:r w:rsidR="00761440" w:rsidRPr="000C6E07">
              <w:rPr>
                <w:rFonts w:eastAsia="Times New Roman" w:cs="Times New Roman"/>
                <w:color w:val="000000"/>
                <w:sz w:val="20"/>
                <w:szCs w:val="20"/>
                <w:lang w:val="ro-RO"/>
                <w14:ligatures w14:val="none"/>
              </w:rPr>
              <w:t xml:space="preserve"> profesionale</w:t>
            </w:r>
          </w:p>
        </w:tc>
        <w:tc>
          <w:tcPr>
            <w:tcW w:w="1026" w:type="dxa"/>
            <w:tcBorders>
              <w:top w:val="nil"/>
              <w:left w:val="nil"/>
              <w:bottom w:val="single" w:sz="4" w:space="0" w:color="auto"/>
              <w:right w:val="single" w:sz="4" w:space="0" w:color="auto"/>
            </w:tcBorders>
            <w:vAlign w:val="center"/>
            <w:hideMark/>
          </w:tcPr>
          <w:p w14:paraId="7AF02C28"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56,0</w:t>
            </w:r>
          </w:p>
        </w:tc>
        <w:tc>
          <w:tcPr>
            <w:tcW w:w="1100" w:type="dxa"/>
            <w:tcBorders>
              <w:top w:val="nil"/>
              <w:left w:val="nil"/>
              <w:bottom w:val="single" w:sz="4" w:space="0" w:color="auto"/>
              <w:right w:val="single" w:sz="4" w:space="0" w:color="auto"/>
            </w:tcBorders>
            <w:vAlign w:val="center"/>
            <w:hideMark/>
          </w:tcPr>
          <w:p w14:paraId="6ADAF423"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56,0</w:t>
            </w:r>
          </w:p>
        </w:tc>
        <w:tc>
          <w:tcPr>
            <w:tcW w:w="1015" w:type="dxa"/>
            <w:tcBorders>
              <w:top w:val="nil"/>
              <w:left w:val="nil"/>
              <w:bottom w:val="single" w:sz="4" w:space="0" w:color="auto"/>
              <w:right w:val="single" w:sz="4" w:space="0" w:color="auto"/>
            </w:tcBorders>
            <w:vAlign w:val="center"/>
            <w:hideMark/>
          </w:tcPr>
          <w:p w14:paraId="6CD4DB6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CF2B00D"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558B944" w14:textId="44572B04" w:rsidR="00761440" w:rsidRPr="000C6E07" w:rsidRDefault="005274CE"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00761440"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7C837A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70CB6B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w:t>
            </w:r>
          </w:p>
        </w:tc>
        <w:tc>
          <w:tcPr>
            <w:tcW w:w="1000" w:type="dxa"/>
            <w:tcBorders>
              <w:top w:val="nil"/>
              <w:left w:val="nil"/>
              <w:bottom w:val="single" w:sz="4" w:space="0" w:color="auto"/>
              <w:right w:val="single" w:sz="4" w:space="0" w:color="auto"/>
            </w:tcBorders>
            <w:vAlign w:val="center"/>
            <w:hideMark/>
          </w:tcPr>
          <w:p w14:paraId="1DCBA191"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w:t>
            </w:r>
          </w:p>
        </w:tc>
        <w:tc>
          <w:tcPr>
            <w:tcW w:w="1000" w:type="dxa"/>
            <w:tcBorders>
              <w:top w:val="nil"/>
              <w:left w:val="nil"/>
              <w:bottom w:val="single" w:sz="4" w:space="0" w:color="auto"/>
              <w:right w:val="single" w:sz="4" w:space="0" w:color="auto"/>
            </w:tcBorders>
            <w:vAlign w:val="center"/>
            <w:hideMark/>
          </w:tcPr>
          <w:p w14:paraId="28020BE6"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18F3052"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D3DBBB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6457341E"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761440" w:rsidRPr="000C6E07" w14:paraId="06BCAEFA" w14:textId="77777777" w:rsidTr="00783DF5">
        <w:trPr>
          <w:trHeight w:val="2080"/>
        </w:trPr>
        <w:tc>
          <w:tcPr>
            <w:tcW w:w="568" w:type="dxa"/>
            <w:tcBorders>
              <w:top w:val="nil"/>
              <w:left w:val="single" w:sz="4" w:space="0" w:color="auto"/>
              <w:bottom w:val="single" w:sz="4" w:space="0" w:color="auto"/>
              <w:right w:val="single" w:sz="4" w:space="0" w:color="auto"/>
            </w:tcBorders>
            <w:hideMark/>
          </w:tcPr>
          <w:p w14:paraId="7E725601" w14:textId="52C12EE9"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035A52F6" w14:textId="29C0DF97" w:rsidR="00430E3B"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Dezvoltarea și implementarea modulului electronic „Agenda polițistului”, bazat pe date geospațiale</w:t>
            </w:r>
          </w:p>
        </w:tc>
        <w:tc>
          <w:tcPr>
            <w:tcW w:w="1843" w:type="dxa"/>
            <w:tcBorders>
              <w:top w:val="nil"/>
              <w:left w:val="nil"/>
              <w:bottom w:val="single" w:sz="4" w:space="0" w:color="auto"/>
              <w:right w:val="single" w:sz="4" w:space="0" w:color="auto"/>
            </w:tcBorders>
            <w:vAlign w:val="center"/>
            <w:hideMark/>
          </w:tcPr>
          <w:p w14:paraId="3B2D6A4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Modulul electronic „Agenda polițistului” dezvoltat</w:t>
            </w:r>
          </w:p>
        </w:tc>
        <w:tc>
          <w:tcPr>
            <w:tcW w:w="1026" w:type="dxa"/>
            <w:tcBorders>
              <w:top w:val="nil"/>
              <w:left w:val="nil"/>
              <w:bottom w:val="single" w:sz="4" w:space="0" w:color="auto"/>
              <w:right w:val="single" w:sz="4" w:space="0" w:color="auto"/>
            </w:tcBorders>
            <w:vAlign w:val="center"/>
            <w:hideMark/>
          </w:tcPr>
          <w:p w14:paraId="58530780"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w:t>
            </w:r>
          </w:p>
        </w:tc>
        <w:tc>
          <w:tcPr>
            <w:tcW w:w="1100" w:type="dxa"/>
            <w:tcBorders>
              <w:top w:val="nil"/>
              <w:left w:val="nil"/>
              <w:bottom w:val="single" w:sz="4" w:space="0" w:color="auto"/>
              <w:right w:val="single" w:sz="4" w:space="0" w:color="auto"/>
            </w:tcBorders>
            <w:vAlign w:val="center"/>
            <w:hideMark/>
          </w:tcPr>
          <w:p w14:paraId="04538DF3"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4794B97"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w:t>
            </w:r>
          </w:p>
        </w:tc>
        <w:tc>
          <w:tcPr>
            <w:tcW w:w="922" w:type="dxa"/>
            <w:tcBorders>
              <w:top w:val="nil"/>
              <w:left w:val="nil"/>
              <w:bottom w:val="single" w:sz="4" w:space="0" w:color="auto"/>
              <w:right w:val="single" w:sz="4" w:space="0" w:color="auto"/>
            </w:tcBorders>
            <w:vAlign w:val="center"/>
            <w:hideMark/>
          </w:tcPr>
          <w:p w14:paraId="0C55AF0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E2985B3" w14:textId="77777777" w:rsidR="00761440" w:rsidRPr="000C6E07" w:rsidRDefault="00761440" w:rsidP="00761440">
            <w:pPr>
              <w:spacing w:after="0"/>
              <w:jc w:val="center"/>
              <w:rPr>
                <w:rFonts w:eastAsia="Times New Roman" w:cs="Times New Roman"/>
                <w:color w:val="FF0000"/>
                <w:sz w:val="20"/>
                <w:szCs w:val="20"/>
                <w:lang w:val="ro-RO"/>
                <w14:ligatures w14:val="none"/>
              </w:rPr>
            </w:pPr>
            <w:r w:rsidRPr="00783DF5">
              <w:rPr>
                <w:rFonts w:eastAsia="Times New Roman" w:cs="Times New Roman"/>
                <w:sz w:val="20"/>
                <w:szCs w:val="20"/>
                <w:lang w:val="ro-RO"/>
                <w14:ligatures w14:val="none"/>
              </w:rPr>
              <w:t>OSCE</w:t>
            </w:r>
          </w:p>
        </w:tc>
        <w:tc>
          <w:tcPr>
            <w:tcW w:w="1000" w:type="dxa"/>
            <w:tcBorders>
              <w:top w:val="nil"/>
              <w:left w:val="nil"/>
              <w:bottom w:val="single" w:sz="4" w:space="0" w:color="auto"/>
              <w:right w:val="single" w:sz="4" w:space="0" w:color="auto"/>
            </w:tcBorders>
            <w:vAlign w:val="center"/>
            <w:hideMark/>
          </w:tcPr>
          <w:p w14:paraId="29FB072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4E6F49"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w:t>
            </w:r>
          </w:p>
        </w:tc>
        <w:tc>
          <w:tcPr>
            <w:tcW w:w="1000" w:type="dxa"/>
            <w:tcBorders>
              <w:top w:val="nil"/>
              <w:left w:val="nil"/>
              <w:bottom w:val="single" w:sz="4" w:space="0" w:color="auto"/>
              <w:right w:val="single" w:sz="4" w:space="0" w:color="auto"/>
            </w:tcBorders>
            <w:vAlign w:val="center"/>
            <w:hideMark/>
          </w:tcPr>
          <w:p w14:paraId="4210109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D5A7A1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30A34B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9946C01"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nil"/>
              <w:left w:val="nil"/>
              <w:bottom w:val="single" w:sz="4" w:space="0" w:color="auto"/>
              <w:right w:val="single" w:sz="4" w:space="0" w:color="auto"/>
            </w:tcBorders>
            <w:vAlign w:val="center"/>
            <w:hideMark/>
          </w:tcPr>
          <w:p w14:paraId="16BB575B" w14:textId="7777777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008B16E2">
              <w:rPr>
                <w:rFonts w:eastAsia="Times New Roman" w:cs="Times New Roman"/>
                <w:color w:val="000000"/>
                <w:sz w:val="20"/>
                <w:szCs w:val="20"/>
                <w:lang w:val="ro-RO"/>
                <w14:ligatures w14:val="none"/>
              </w:rPr>
              <w:t>;</w:t>
            </w:r>
          </w:p>
          <w:p w14:paraId="1E0025F3" w14:textId="6E1309B8" w:rsidR="008B16E2" w:rsidRPr="000C6E07" w:rsidRDefault="008B16E2" w:rsidP="00761440">
            <w:pPr>
              <w:spacing w:after="0"/>
              <w:jc w:val="center"/>
              <w:rPr>
                <w:rFonts w:eastAsia="Times New Roman" w:cs="Times New Roman"/>
                <w:color w:val="000000"/>
                <w:sz w:val="20"/>
                <w:szCs w:val="20"/>
                <w:lang w:val="ro-RO"/>
                <w14:ligatures w14:val="none"/>
              </w:rPr>
            </w:pPr>
            <w:r w:rsidRPr="008B16E2">
              <w:rPr>
                <w:rFonts w:eastAsia="Times New Roman" w:cs="Times New Roman"/>
                <w:color w:val="000000"/>
                <w:sz w:val="20"/>
                <w:szCs w:val="20"/>
                <w:lang w:val="ro-RO"/>
                <w14:ligatures w14:val="none"/>
              </w:rPr>
              <w:t>OSCE</w:t>
            </w:r>
          </w:p>
        </w:tc>
      </w:tr>
      <w:tr w:rsidR="00761440" w:rsidRPr="000C6E07" w14:paraId="3E905321" w14:textId="77777777" w:rsidTr="004356CF">
        <w:trPr>
          <w:trHeight w:val="2600"/>
        </w:trPr>
        <w:tc>
          <w:tcPr>
            <w:tcW w:w="568" w:type="dxa"/>
            <w:vMerge w:val="restart"/>
            <w:tcBorders>
              <w:top w:val="nil"/>
              <w:left w:val="single" w:sz="4" w:space="0" w:color="auto"/>
              <w:bottom w:val="single" w:sz="4" w:space="0" w:color="auto"/>
              <w:right w:val="single" w:sz="4" w:space="0" w:color="auto"/>
            </w:tcBorders>
            <w:hideMark/>
          </w:tcPr>
          <w:p w14:paraId="0F915C2E" w14:textId="582377CB"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5689FC65"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Asigurarea comunicării eficiente a serviciilor de ordine și securitate publică cu instituțiile media și societatea civilă</w:t>
            </w:r>
          </w:p>
        </w:tc>
        <w:tc>
          <w:tcPr>
            <w:tcW w:w="1843" w:type="dxa"/>
            <w:tcBorders>
              <w:top w:val="nil"/>
              <w:left w:val="nil"/>
              <w:bottom w:val="single" w:sz="4" w:space="0" w:color="auto"/>
              <w:right w:val="single" w:sz="4" w:space="0" w:color="auto"/>
            </w:tcBorders>
            <w:vAlign w:val="center"/>
            <w:hideMark/>
          </w:tcPr>
          <w:p w14:paraId="06A4849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Instrucțiuni privind mecanismul de comunicare cu societatea civilă, inclusiv pentru a clarifica anumite situații, aprobate prin ordin al Inspectoratului General al Poliției, și al Inspectoratului general de Carabinieri</w:t>
            </w:r>
          </w:p>
        </w:tc>
        <w:tc>
          <w:tcPr>
            <w:tcW w:w="1026" w:type="dxa"/>
            <w:tcBorders>
              <w:top w:val="nil"/>
              <w:left w:val="nil"/>
              <w:bottom w:val="single" w:sz="4" w:space="0" w:color="auto"/>
              <w:right w:val="single" w:sz="4" w:space="0" w:color="auto"/>
            </w:tcBorders>
            <w:vAlign w:val="center"/>
            <w:hideMark/>
          </w:tcPr>
          <w:p w14:paraId="707E41EE"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36B43B73"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3B598B8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549E72B"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F3660DF"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542F156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D556B82"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410A389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28BA17"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77CCA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FF3541A"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2027</w:t>
            </w:r>
          </w:p>
        </w:tc>
        <w:tc>
          <w:tcPr>
            <w:tcW w:w="1162" w:type="dxa"/>
            <w:tcBorders>
              <w:top w:val="nil"/>
              <w:left w:val="nil"/>
              <w:bottom w:val="single" w:sz="4" w:space="0" w:color="auto"/>
              <w:right w:val="single" w:sz="4" w:space="0" w:color="auto"/>
            </w:tcBorders>
            <w:vAlign w:val="center"/>
            <w:hideMark/>
          </w:tcPr>
          <w:p w14:paraId="04EE21B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3264D789" w14:textId="77777777" w:rsidTr="00F05D53">
        <w:trPr>
          <w:trHeight w:val="290"/>
        </w:trPr>
        <w:tc>
          <w:tcPr>
            <w:tcW w:w="568" w:type="dxa"/>
            <w:vMerge/>
            <w:tcBorders>
              <w:top w:val="nil"/>
              <w:left w:val="single" w:sz="4" w:space="0" w:color="auto"/>
              <w:bottom w:val="single" w:sz="4" w:space="0" w:color="auto"/>
              <w:right w:val="single" w:sz="4" w:space="0" w:color="auto"/>
            </w:tcBorders>
            <w:hideMark/>
          </w:tcPr>
          <w:p w14:paraId="41D1F72C" w14:textId="77777777" w:rsidR="005D7A87" w:rsidRPr="000C6E07" w:rsidRDefault="005D7A87"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F043930"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5012B6FC"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Instrumente de comunicare ale serviciilor de ordine și securitate publică (inclusiv pagini web, materiale </w:t>
            </w:r>
            <w:r w:rsidRPr="000C6E07">
              <w:rPr>
                <w:rFonts w:eastAsia="Times New Roman" w:cs="Times New Roman"/>
                <w:color w:val="000000"/>
                <w:sz w:val="20"/>
                <w:szCs w:val="20"/>
                <w:lang w:val="ro-RO"/>
                <w14:ligatures w14:val="none"/>
              </w:rPr>
              <w:lastRenderedPageBreak/>
              <w:t>informative, panouri, broșuri etc.) accesibilizate pentru persoanele cu dizabilități senzoriale conform standardelor legale, precum și pentru alte categorii vulnerabile relevante</w:t>
            </w:r>
          </w:p>
        </w:tc>
        <w:tc>
          <w:tcPr>
            <w:tcW w:w="1026" w:type="dxa"/>
            <w:vMerge w:val="restart"/>
            <w:tcBorders>
              <w:top w:val="nil"/>
              <w:left w:val="nil"/>
              <w:right w:val="single" w:sz="4" w:space="0" w:color="auto"/>
            </w:tcBorders>
            <w:vAlign w:val="center"/>
            <w:hideMark/>
          </w:tcPr>
          <w:p w14:paraId="581B04B8" w14:textId="582F4BB3"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50,0</w:t>
            </w:r>
          </w:p>
          <w:p w14:paraId="7902C580" w14:textId="2977F635" w:rsidR="005D7A87" w:rsidRPr="000C6E07" w:rsidRDefault="005D7A87" w:rsidP="00761440">
            <w:pPr>
              <w:spacing w:after="0"/>
              <w:jc w:val="center"/>
              <w:rPr>
                <w:rFonts w:eastAsia="Times New Roman" w:cs="Times New Roman"/>
                <w:color w:val="0070C0"/>
                <w:sz w:val="20"/>
                <w:szCs w:val="20"/>
                <w:lang w:val="ro-RO"/>
                <w14:ligatures w14:val="none"/>
              </w:rPr>
            </w:pPr>
          </w:p>
        </w:tc>
        <w:tc>
          <w:tcPr>
            <w:tcW w:w="1100" w:type="dxa"/>
            <w:vMerge w:val="restart"/>
            <w:tcBorders>
              <w:top w:val="nil"/>
              <w:left w:val="nil"/>
              <w:right w:val="single" w:sz="4" w:space="0" w:color="auto"/>
            </w:tcBorders>
            <w:vAlign w:val="center"/>
            <w:hideMark/>
          </w:tcPr>
          <w:p w14:paraId="7A5FA52D" w14:textId="6A34D837" w:rsidR="005D7A87" w:rsidRPr="00D87D85" w:rsidRDefault="005D7A87" w:rsidP="00D87D85">
            <w:pPr>
              <w:spacing w:after="0"/>
              <w:jc w:val="center"/>
              <w:rPr>
                <w:rFonts w:eastAsia="Times New Roman" w:cs="Times New Roman"/>
                <w:color w:val="0070C0"/>
                <w:sz w:val="20"/>
                <w:szCs w:val="20"/>
                <w:lang w:val="ro-RO"/>
                <w14:ligatures w14:val="none"/>
              </w:rPr>
            </w:pPr>
            <w:r w:rsidRPr="00D87D85">
              <w:rPr>
                <w:rFonts w:eastAsia="Times New Roman" w:cs="Times New Roman"/>
                <w:color w:val="0070C0"/>
                <w:sz w:val="20"/>
                <w:szCs w:val="20"/>
                <w:lang w:val="ro-RO"/>
                <w14:ligatures w14:val="none"/>
              </w:rPr>
              <w:t>50,0</w:t>
            </w:r>
          </w:p>
        </w:tc>
        <w:tc>
          <w:tcPr>
            <w:tcW w:w="1015" w:type="dxa"/>
            <w:vMerge w:val="restart"/>
            <w:tcBorders>
              <w:top w:val="nil"/>
              <w:left w:val="nil"/>
              <w:right w:val="single" w:sz="4" w:space="0" w:color="auto"/>
            </w:tcBorders>
            <w:vAlign w:val="center"/>
            <w:hideMark/>
          </w:tcPr>
          <w:p w14:paraId="42509BEB" w14:textId="6C6573E1" w:rsidR="005D7A87" w:rsidRPr="00D87D85" w:rsidRDefault="005D7A87" w:rsidP="00D87D85">
            <w:pPr>
              <w:spacing w:after="0"/>
              <w:jc w:val="center"/>
              <w:rPr>
                <w:rFonts w:eastAsia="Times New Roman" w:cs="Times New Roman"/>
                <w:color w:val="0070C0"/>
                <w:sz w:val="20"/>
                <w:szCs w:val="20"/>
                <w:lang w:val="ro-RO"/>
                <w14:ligatures w14:val="none"/>
              </w:rPr>
            </w:pPr>
            <w:r w:rsidRPr="00D87D85">
              <w:rPr>
                <w:rFonts w:eastAsia="Times New Roman" w:cs="Times New Roman"/>
                <w:color w:val="0070C0"/>
                <w:sz w:val="20"/>
                <w:szCs w:val="20"/>
                <w:lang w:val="ro-RO"/>
                <w14:ligatures w14:val="none"/>
              </w:rPr>
              <w:t>1.000,0</w:t>
            </w:r>
          </w:p>
        </w:tc>
        <w:tc>
          <w:tcPr>
            <w:tcW w:w="922" w:type="dxa"/>
            <w:vMerge w:val="restart"/>
            <w:tcBorders>
              <w:top w:val="nil"/>
              <w:left w:val="nil"/>
              <w:right w:val="single" w:sz="4" w:space="0" w:color="auto"/>
            </w:tcBorders>
            <w:vAlign w:val="center"/>
            <w:hideMark/>
          </w:tcPr>
          <w:p w14:paraId="0498374F"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5E8E961B" w14:textId="6CF75C85"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D87D85">
              <w:rPr>
                <w:rFonts w:eastAsia="Times New Roman" w:cs="Times New Roman"/>
                <w:color w:val="0070C0"/>
                <w:sz w:val="20"/>
                <w:szCs w:val="20"/>
                <w:lang w:val="ro-RO"/>
                <w14:ligatures w14:val="none"/>
              </w:rPr>
              <w:t>1.000,0</w:t>
            </w:r>
          </w:p>
          <w:p w14:paraId="297A67DB" w14:textId="1F2183CB"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7EEFC19"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064A2620"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5A54156" w14:textId="5618DAAF" w:rsidR="005D7A87" w:rsidRPr="000C6E07" w:rsidRDefault="005D7A87"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16,6</w:t>
            </w:r>
          </w:p>
        </w:tc>
        <w:tc>
          <w:tcPr>
            <w:tcW w:w="1000" w:type="dxa"/>
            <w:tcBorders>
              <w:top w:val="nil"/>
              <w:left w:val="nil"/>
              <w:bottom w:val="single" w:sz="4" w:space="0" w:color="auto"/>
              <w:right w:val="single" w:sz="4" w:space="0" w:color="auto"/>
            </w:tcBorders>
            <w:vAlign w:val="center"/>
            <w:hideMark/>
          </w:tcPr>
          <w:p w14:paraId="0FC8646D"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5C15775"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44DD46"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2DE9A1FE"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2029</w:t>
            </w:r>
          </w:p>
        </w:tc>
        <w:tc>
          <w:tcPr>
            <w:tcW w:w="1162" w:type="dxa"/>
            <w:vMerge w:val="restart"/>
            <w:tcBorders>
              <w:top w:val="nil"/>
              <w:left w:val="single" w:sz="4" w:space="0" w:color="auto"/>
              <w:bottom w:val="single" w:sz="4" w:space="0" w:color="auto"/>
              <w:right w:val="single" w:sz="4" w:space="0" w:color="auto"/>
            </w:tcBorders>
            <w:vAlign w:val="center"/>
            <w:hideMark/>
          </w:tcPr>
          <w:p w14:paraId="76F865C3"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Parteneri: Alianța Organizații</w:t>
            </w:r>
            <w:r w:rsidRPr="000C6E07">
              <w:rPr>
                <w:rFonts w:eastAsia="Times New Roman" w:cs="Times New Roman"/>
                <w:color w:val="000000"/>
                <w:sz w:val="20"/>
                <w:szCs w:val="20"/>
                <w:lang w:val="ro-RO"/>
                <w14:ligatures w14:val="none"/>
              </w:rPr>
              <w:lastRenderedPageBreak/>
              <w:t>lor pentru Persoane cu Dizabilități din Republica Moldova; Asociația Nevăzătorilor din Moldova; Asociația Surzilor din Republica;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 Asociația „Motivație” Moldova;</w:t>
            </w:r>
          </w:p>
        </w:tc>
      </w:tr>
      <w:tr w:rsidR="005D7A87" w:rsidRPr="000C6E07" w14:paraId="1D0742C0" w14:textId="77777777" w:rsidTr="00F05D53">
        <w:trPr>
          <w:trHeight w:val="290"/>
        </w:trPr>
        <w:tc>
          <w:tcPr>
            <w:tcW w:w="568" w:type="dxa"/>
            <w:vMerge/>
            <w:tcBorders>
              <w:top w:val="nil"/>
              <w:left w:val="single" w:sz="4" w:space="0" w:color="auto"/>
              <w:bottom w:val="single" w:sz="4" w:space="0" w:color="auto"/>
              <w:right w:val="single" w:sz="4" w:space="0" w:color="auto"/>
            </w:tcBorders>
            <w:hideMark/>
          </w:tcPr>
          <w:p w14:paraId="61AD799C" w14:textId="77777777" w:rsidR="005D7A87" w:rsidRPr="000C6E07" w:rsidRDefault="005D7A87"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71F4384"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656E03BB"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026" w:type="dxa"/>
            <w:vMerge/>
            <w:tcBorders>
              <w:left w:val="nil"/>
              <w:right w:val="single" w:sz="4" w:space="0" w:color="auto"/>
            </w:tcBorders>
            <w:vAlign w:val="center"/>
            <w:hideMark/>
          </w:tcPr>
          <w:p w14:paraId="48920289" w14:textId="47E5DB4D" w:rsidR="005D7A87" w:rsidRPr="000C6E07" w:rsidRDefault="005D7A87" w:rsidP="00761440">
            <w:pPr>
              <w:spacing w:after="0"/>
              <w:jc w:val="center"/>
              <w:rPr>
                <w:rFonts w:eastAsia="Times New Roman" w:cs="Times New Roman"/>
                <w:color w:val="0070C0"/>
                <w:sz w:val="20"/>
                <w:szCs w:val="20"/>
                <w:lang w:val="ro-RO"/>
                <w14:ligatures w14:val="none"/>
              </w:rPr>
            </w:pPr>
          </w:p>
        </w:tc>
        <w:tc>
          <w:tcPr>
            <w:tcW w:w="1100" w:type="dxa"/>
            <w:vMerge/>
            <w:tcBorders>
              <w:left w:val="nil"/>
              <w:right w:val="single" w:sz="4" w:space="0" w:color="auto"/>
            </w:tcBorders>
            <w:vAlign w:val="center"/>
            <w:hideMark/>
          </w:tcPr>
          <w:p w14:paraId="2478274D" w14:textId="30593FC3" w:rsidR="005D7A87" w:rsidRPr="008B16E2" w:rsidRDefault="005D7A87" w:rsidP="00761440">
            <w:pPr>
              <w:spacing w:after="0"/>
              <w:jc w:val="center"/>
              <w:rPr>
                <w:rFonts w:eastAsia="Times New Roman" w:cs="Times New Roman"/>
                <w:color w:val="0070C0"/>
                <w:sz w:val="20"/>
                <w:szCs w:val="20"/>
                <w:highlight w:val="yellow"/>
                <w:lang w:val="ro-RO"/>
                <w14:ligatures w14:val="none"/>
              </w:rPr>
            </w:pPr>
          </w:p>
        </w:tc>
        <w:tc>
          <w:tcPr>
            <w:tcW w:w="1015" w:type="dxa"/>
            <w:vMerge/>
            <w:tcBorders>
              <w:left w:val="nil"/>
              <w:right w:val="single" w:sz="4" w:space="0" w:color="auto"/>
            </w:tcBorders>
            <w:vAlign w:val="center"/>
            <w:hideMark/>
          </w:tcPr>
          <w:p w14:paraId="30886D2C" w14:textId="516D2DA2" w:rsidR="005D7A87" w:rsidRPr="008B16E2" w:rsidRDefault="005D7A87" w:rsidP="00761440">
            <w:pPr>
              <w:spacing w:after="0"/>
              <w:jc w:val="center"/>
              <w:rPr>
                <w:rFonts w:eastAsia="Times New Roman" w:cs="Times New Roman"/>
                <w:color w:val="0070C0"/>
                <w:sz w:val="20"/>
                <w:szCs w:val="20"/>
                <w:highlight w:val="yellow"/>
                <w:lang w:val="ro-RO"/>
                <w14:ligatures w14:val="none"/>
              </w:rPr>
            </w:pPr>
          </w:p>
        </w:tc>
        <w:tc>
          <w:tcPr>
            <w:tcW w:w="922" w:type="dxa"/>
            <w:vMerge/>
            <w:tcBorders>
              <w:left w:val="nil"/>
              <w:right w:val="single" w:sz="4" w:space="0" w:color="auto"/>
            </w:tcBorders>
            <w:vAlign w:val="center"/>
            <w:hideMark/>
          </w:tcPr>
          <w:p w14:paraId="7CD0ED4C" w14:textId="1089769E" w:rsidR="005D7A87" w:rsidRPr="000C6E07" w:rsidRDefault="005D7A87" w:rsidP="00761440">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762C8547"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501DA9F"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2CD9E8" w14:textId="2DFCE654" w:rsidR="005D7A87" w:rsidRPr="000C6E07" w:rsidRDefault="005D7A87"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16,6</w:t>
            </w:r>
          </w:p>
        </w:tc>
        <w:tc>
          <w:tcPr>
            <w:tcW w:w="1000" w:type="dxa"/>
            <w:tcBorders>
              <w:top w:val="nil"/>
              <w:left w:val="nil"/>
              <w:bottom w:val="single" w:sz="4" w:space="0" w:color="auto"/>
              <w:right w:val="single" w:sz="4" w:space="0" w:color="auto"/>
            </w:tcBorders>
            <w:vAlign w:val="center"/>
            <w:hideMark/>
          </w:tcPr>
          <w:p w14:paraId="7AB07271"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E235F19"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E041A47"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4E70C140"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56B29B93" w14:textId="77777777" w:rsidR="005D7A87" w:rsidRPr="000C6E07" w:rsidRDefault="005D7A87" w:rsidP="00761440">
            <w:pPr>
              <w:spacing w:after="0"/>
              <w:rPr>
                <w:rFonts w:eastAsia="Times New Roman" w:cs="Times New Roman"/>
                <w:color w:val="000000"/>
                <w:sz w:val="20"/>
                <w:szCs w:val="20"/>
                <w:lang w:val="ro-RO"/>
                <w14:ligatures w14:val="none"/>
              </w:rPr>
            </w:pPr>
          </w:p>
        </w:tc>
      </w:tr>
      <w:tr w:rsidR="005D7A87" w:rsidRPr="000C6E07" w14:paraId="5401788C" w14:textId="77777777" w:rsidTr="00F05D53">
        <w:trPr>
          <w:trHeight w:val="290"/>
        </w:trPr>
        <w:tc>
          <w:tcPr>
            <w:tcW w:w="568" w:type="dxa"/>
            <w:vMerge/>
            <w:tcBorders>
              <w:top w:val="nil"/>
              <w:left w:val="single" w:sz="4" w:space="0" w:color="auto"/>
              <w:bottom w:val="single" w:sz="4" w:space="0" w:color="auto"/>
              <w:right w:val="single" w:sz="4" w:space="0" w:color="auto"/>
            </w:tcBorders>
            <w:hideMark/>
          </w:tcPr>
          <w:p w14:paraId="3A988C41" w14:textId="77777777" w:rsidR="005D7A87" w:rsidRPr="000C6E07" w:rsidRDefault="005D7A87"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495E8D"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5EBCFEE5"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hideMark/>
          </w:tcPr>
          <w:p w14:paraId="138B6F76" w14:textId="2629561B" w:rsidR="005D7A87" w:rsidRPr="000C6E07" w:rsidRDefault="005D7A87" w:rsidP="00761440">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673FB44B" w14:textId="63EFFAC5" w:rsidR="005D7A87" w:rsidRPr="008B16E2" w:rsidRDefault="005D7A87" w:rsidP="00761440">
            <w:pPr>
              <w:spacing w:after="0"/>
              <w:jc w:val="center"/>
              <w:rPr>
                <w:rFonts w:eastAsia="Times New Roman" w:cs="Times New Roman"/>
                <w:color w:val="0070C0"/>
                <w:sz w:val="20"/>
                <w:szCs w:val="20"/>
                <w:highlight w:val="yellow"/>
                <w:lang w:val="ro-RO"/>
                <w14:ligatures w14:val="none"/>
              </w:rPr>
            </w:pPr>
          </w:p>
        </w:tc>
        <w:tc>
          <w:tcPr>
            <w:tcW w:w="1015" w:type="dxa"/>
            <w:vMerge/>
            <w:tcBorders>
              <w:left w:val="nil"/>
              <w:bottom w:val="single" w:sz="4" w:space="0" w:color="auto"/>
              <w:right w:val="single" w:sz="4" w:space="0" w:color="auto"/>
            </w:tcBorders>
            <w:vAlign w:val="center"/>
            <w:hideMark/>
          </w:tcPr>
          <w:p w14:paraId="11F48474" w14:textId="3E2FF336" w:rsidR="005D7A87" w:rsidRPr="008B16E2" w:rsidRDefault="005D7A87" w:rsidP="00761440">
            <w:pPr>
              <w:spacing w:after="0"/>
              <w:jc w:val="center"/>
              <w:rPr>
                <w:rFonts w:eastAsia="Times New Roman" w:cs="Times New Roman"/>
                <w:color w:val="0070C0"/>
                <w:sz w:val="20"/>
                <w:szCs w:val="20"/>
                <w:highlight w:val="yellow"/>
                <w:lang w:val="ro-RO"/>
                <w14:ligatures w14:val="none"/>
              </w:rPr>
            </w:pPr>
          </w:p>
        </w:tc>
        <w:tc>
          <w:tcPr>
            <w:tcW w:w="922" w:type="dxa"/>
            <w:vMerge/>
            <w:tcBorders>
              <w:left w:val="nil"/>
              <w:bottom w:val="single" w:sz="4" w:space="0" w:color="auto"/>
              <w:right w:val="single" w:sz="4" w:space="0" w:color="auto"/>
            </w:tcBorders>
            <w:vAlign w:val="center"/>
            <w:hideMark/>
          </w:tcPr>
          <w:p w14:paraId="6C8A1C7F" w14:textId="4A3430D7" w:rsidR="005D7A87" w:rsidRPr="000C6E07" w:rsidRDefault="005D7A87" w:rsidP="00761440">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0974237C" w14:textId="77777777" w:rsidR="005D7A87"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4781FC86"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0C18E86" w14:textId="22C47859" w:rsidR="005D7A87" w:rsidRPr="000C6E07" w:rsidRDefault="005D7A87" w:rsidP="00761440">
            <w:pPr>
              <w:spacing w:after="0"/>
              <w:jc w:val="center"/>
              <w:rPr>
                <w:rFonts w:eastAsia="Times New Roman" w:cs="Times New Roman"/>
                <w:color w:val="0070C0"/>
                <w:sz w:val="20"/>
                <w:szCs w:val="20"/>
                <w:lang w:val="ro-RO"/>
                <w14:ligatures w14:val="none"/>
              </w:rPr>
            </w:pPr>
            <w:r>
              <w:rPr>
                <w:rFonts w:eastAsia="Times New Roman" w:cs="Times New Roman"/>
                <w:color w:val="0070C0"/>
                <w:sz w:val="20"/>
                <w:szCs w:val="20"/>
                <w:lang w:val="ro-RO"/>
                <w14:ligatures w14:val="none"/>
              </w:rPr>
              <w:t>16,6</w:t>
            </w:r>
          </w:p>
        </w:tc>
        <w:tc>
          <w:tcPr>
            <w:tcW w:w="1000" w:type="dxa"/>
            <w:tcBorders>
              <w:top w:val="nil"/>
              <w:left w:val="nil"/>
              <w:bottom w:val="single" w:sz="4" w:space="0" w:color="auto"/>
              <w:right w:val="single" w:sz="4" w:space="0" w:color="auto"/>
            </w:tcBorders>
            <w:vAlign w:val="center"/>
            <w:hideMark/>
          </w:tcPr>
          <w:p w14:paraId="7C858F74"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DD611C"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9E32E57" w14:textId="77777777" w:rsidR="005D7A87" w:rsidRPr="000C6E07" w:rsidRDefault="005D7A87"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6B7577CD" w14:textId="77777777" w:rsidR="005D7A87" w:rsidRPr="000C6E07" w:rsidRDefault="005D7A87" w:rsidP="00761440">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481D628" w14:textId="77777777" w:rsidR="005D7A87" w:rsidRPr="000C6E07" w:rsidRDefault="005D7A87" w:rsidP="00761440">
            <w:pPr>
              <w:spacing w:after="0"/>
              <w:rPr>
                <w:rFonts w:eastAsia="Times New Roman" w:cs="Times New Roman"/>
                <w:color w:val="000000"/>
                <w:sz w:val="20"/>
                <w:szCs w:val="20"/>
                <w:lang w:val="ro-RO"/>
                <w14:ligatures w14:val="none"/>
              </w:rPr>
            </w:pPr>
          </w:p>
        </w:tc>
      </w:tr>
      <w:tr w:rsidR="00761440" w:rsidRPr="000C6E07" w14:paraId="0C375F28" w14:textId="77777777" w:rsidTr="004356CF">
        <w:trPr>
          <w:trHeight w:val="1820"/>
        </w:trPr>
        <w:tc>
          <w:tcPr>
            <w:tcW w:w="568" w:type="dxa"/>
            <w:vMerge w:val="restart"/>
            <w:tcBorders>
              <w:top w:val="nil"/>
              <w:left w:val="single" w:sz="4" w:space="0" w:color="auto"/>
              <w:bottom w:val="single" w:sz="4" w:space="0" w:color="auto"/>
              <w:right w:val="single" w:sz="4" w:space="0" w:color="auto"/>
            </w:tcBorders>
            <w:hideMark/>
          </w:tcPr>
          <w:p w14:paraId="577A7FA7" w14:textId="0457D563" w:rsidR="00761440" w:rsidRPr="000C6E07" w:rsidRDefault="00761440" w:rsidP="00761440">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1801FFC" w14:textId="77777777" w:rsidR="00761440" w:rsidRPr="000C6E07" w:rsidRDefault="00761440" w:rsidP="00761440">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Consolidarea capacității de răspuns la amenințările asociate mediului digital care afectează drepturile și </w:t>
            </w:r>
            <w:r w:rsidRPr="000C6E07">
              <w:rPr>
                <w:rFonts w:eastAsia="Times New Roman" w:cs="Times New Roman"/>
                <w:color w:val="000000"/>
                <w:sz w:val="20"/>
                <w:szCs w:val="20"/>
                <w:lang w:val="ro-RO"/>
                <w14:ligatures w14:val="none"/>
              </w:rPr>
              <w:lastRenderedPageBreak/>
              <w:t>siguranța populației</w:t>
            </w:r>
          </w:p>
        </w:tc>
        <w:tc>
          <w:tcPr>
            <w:tcW w:w="1843" w:type="dxa"/>
            <w:tcBorders>
              <w:top w:val="nil"/>
              <w:left w:val="nil"/>
              <w:bottom w:val="single" w:sz="4" w:space="0" w:color="auto"/>
              <w:right w:val="single" w:sz="4" w:space="0" w:color="auto"/>
            </w:tcBorders>
            <w:vAlign w:val="center"/>
            <w:hideMark/>
          </w:tcPr>
          <w:p w14:paraId="7B57B2C0"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Studiu privind amenințările asociate mediului digital (inclusiv discurs de ură și violență digitală) care afectează drepturile și siguranța populației elaborat</w:t>
            </w:r>
          </w:p>
        </w:tc>
        <w:tc>
          <w:tcPr>
            <w:tcW w:w="1026" w:type="dxa"/>
            <w:tcBorders>
              <w:top w:val="nil"/>
              <w:left w:val="nil"/>
              <w:bottom w:val="single" w:sz="4" w:space="0" w:color="auto"/>
              <w:right w:val="single" w:sz="4" w:space="0" w:color="auto"/>
            </w:tcBorders>
            <w:vAlign w:val="center"/>
            <w:hideMark/>
          </w:tcPr>
          <w:p w14:paraId="6E717665"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w:t>
            </w:r>
          </w:p>
        </w:tc>
        <w:tc>
          <w:tcPr>
            <w:tcW w:w="1100" w:type="dxa"/>
            <w:tcBorders>
              <w:top w:val="nil"/>
              <w:left w:val="nil"/>
              <w:bottom w:val="single" w:sz="4" w:space="0" w:color="auto"/>
              <w:right w:val="single" w:sz="4" w:space="0" w:color="auto"/>
            </w:tcBorders>
            <w:vAlign w:val="center"/>
            <w:hideMark/>
          </w:tcPr>
          <w:p w14:paraId="11D7EA45"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34309FF"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w:t>
            </w:r>
          </w:p>
        </w:tc>
        <w:tc>
          <w:tcPr>
            <w:tcW w:w="922" w:type="dxa"/>
            <w:tcBorders>
              <w:top w:val="nil"/>
              <w:left w:val="nil"/>
              <w:bottom w:val="single" w:sz="4" w:space="0" w:color="auto"/>
              <w:right w:val="single" w:sz="4" w:space="0" w:color="auto"/>
            </w:tcBorders>
            <w:vAlign w:val="center"/>
            <w:hideMark/>
          </w:tcPr>
          <w:p w14:paraId="5DE34690" w14:textId="67B53BE7" w:rsidR="00761440" w:rsidRPr="000C6E07" w:rsidRDefault="005D7A87"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100,0</w:t>
            </w:r>
            <w:r w:rsidR="00761440"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59020AE" w14:textId="7777777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p w14:paraId="438C4B2C" w14:textId="77777777" w:rsidR="005274CE" w:rsidRDefault="005274CE"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0402</w:t>
            </w:r>
          </w:p>
          <w:p w14:paraId="7316F4BA" w14:textId="62B409E5" w:rsidR="005274CE" w:rsidRPr="000C6E07" w:rsidRDefault="005274CE" w:rsidP="0076144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0403</w:t>
            </w:r>
          </w:p>
        </w:tc>
        <w:tc>
          <w:tcPr>
            <w:tcW w:w="1000" w:type="dxa"/>
            <w:tcBorders>
              <w:top w:val="nil"/>
              <w:left w:val="nil"/>
              <w:bottom w:val="single" w:sz="4" w:space="0" w:color="auto"/>
              <w:right w:val="single" w:sz="4" w:space="0" w:color="auto"/>
            </w:tcBorders>
            <w:vAlign w:val="center"/>
            <w:hideMark/>
          </w:tcPr>
          <w:p w14:paraId="52B76B6C"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A0DEC8"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38F829C" w14:textId="77777777" w:rsidR="00761440" w:rsidRPr="000C6E07" w:rsidRDefault="00761440" w:rsidP="00761440">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w:t>
            </w:r>
          </w:p>
        </w:tc>
        <w:tc>
          <w:tcPr>
            <w:tcW w:w="1000" w:type="dxa"/>
            <w:tcBorders>
              <w:top w:val="nil"/>
              <w:left w:val="nil"/>
              <w:bottom w:val="single" w:sz="4" w:space="0" w:color="auto"/>
              <w:right w:val="single" w:sz="4" w:space="0" w:color="auto"/>
            </w:tcBorders>
            <w:vAlign w:val="center"/>
            <w:hideMark/>
          </w:tcPr>
          <w:p w14:paraId="63928059"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652C2E8"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00BF953" w14:textId="77777777" w:rsidR="00761440" w:rsidRPr="000C6E07"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nil"/>
              <w:left w:val="nil"/>
              <w:bottom w:val="single" w:sz="4" w:space="0" w:color="auto"/>
              <w:right w:val="single" w:sz="4" w:space="0" w:color="auto"/>
            </w:tcBorders>
            <w:vAlign w:val="center"/>
            <w:hideMark/>
          </w:tcPr>
          <w:p w14:paraId="7FA205BA" w14:textId="77777777" w:rsidR="00761440" w:rsidRDefault="00761440" w:rsidP="00761440">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p w14:paraId="2E827A13" w14:textId="00E2FBFA" w:rsidR="008B16E2" w:rsidRDefault="008B16E2" w:rsidP="00761440">
            <w:pPr>
              <w:spacing w:after="0"/>
              <w:jc w:val="center"/>
              <w:rPr>
                <w:rFonts w:eastAsia="Times New Roman" w:cs="Times New Roman"/>
                <w:color w:val="000000"/>
                <w:sz w:val="20"/>
                <w:szCs w:val="20"/>
                <w:lang w:val="ro-RO"/>
                <w14:ligatures w14:val="none"/>
              </w:rPr>
            </w:pPr>
            <w:r w:rsidRPr="008B16E2">
              <w:rPr>
                <w:rFonts w:eastAsia="Times New Roman" w:cs="Times New Roman"/>
                <w:color w:val="000000"/>
                <w:sz w:val="20"/>
                <w:szCs w:val="20"/>
                <w:lang w:val="ro-RO"/>
                <w14:ligatures w14:val="none"/>
              </w:rPr>
              <w:t>Agenția pentru Securitatea Cibernetică (ASC)</w:t>
            </w:r>
            <w:r>
              <w:rPr>
                <w:rFonts w:eastAsia="Times New Roman" w:cs="Times New Roman"/>
                <w:color w:val="000000"/>
                <w:sz w:val="20"/>
                <w:szCs w:val="20"/>
                <w:lang w:val="ro-RO"/>
                <w14:ligatures w14:val="none"/>
              </w:rPr>
              <w:t xml:space="preserve"> </w:t>
            </w:r>
          </w:p>
          <w:p w14:paraId="5668C416" w14:textId="11B7B903" w:rsidR="0058254F" w:rsidRPr="000C6E07" w:rsidRDefault="0058254F" w:rsidP="00761440">
            <w:pPr>
              <w:spacing w:after="0"/>
              <w:jc w:val="center"/>
              <w:rPr>
                <w:rFonts w:eastAsia="Times New Roman" w:cs="Times New Roman"/>
                <w:color w:val="000000"/>
                <w:sz w:val="20"/>
                <w:szCs w:val="20"/>
                <w:lang w:val="ro-RO"/>
                <w14:ligatures w14:val="none"/>
              </w:rPr>
            </w:pPr>
          </w:p>
        </w:tc>
      </w:tr>
      <w:tr w:rsidR="005D7A87" w:rsidRPr="000C6E07" w14:paraId="4084E2BE" w14:textId="77777777" w:rsidTr="004356CF">
        <w:trPr>
          <w:trHeight w:val="2340"/>
        </w:trPr>
        <w:tc>
          <w:tcPr>
            <w:tcW w:w="568" w:type="dxa"/>
            <w:vMerge/>
            <w:tcBorders>
              <w:top w:val="nil"/>
              <w:left w:val="single" w:sz="4" w:space="0" w:color="auto"/>
              <w:bottom w:val="single" w:sz="4" w:space="0" w:color="auto"/>
              <w:right w:val="single" w:sz="4" w:space="0" w:color="auto"/>
            </w:tcBorders>
            <w:hideMark/>
          </w:tcPr>
          <w:p w14:paraId="434A28DE"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F0EB45A"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229A32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Capacități de răspuns dezvoltate în cadrul serviciilor de securitate și ordine și publică pentru gestionarea amenințările asociate mediului digital care afectează drepturile și siguranța populației</w:t>
            </w:r>
          </w:p>
        </w:tc>
        <w:tc>
          <w:tcPr>
            <w:tcW w:w="1026" w:type="dxa"/>
            <w:tcBorders>
              <w:top w:val="nil"/>
              <w:left w:val="nil"/>
              <w:bottom w:val="single" w:sz="4" w:space="0" w:color="auto"/>
              <w:right w:val="single" w:sz="4" w:space="0" w:color="auto"/>
            </w:tcBorders>
            <w:vAlign w:val="center"/>
            <w:hideMark/>
          </w:tcPr>
          <w:p w14:paraId="526513CA"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100" w:type="dxa"/>
            <w:tcBorders>
              <w:top w:val="nil"/>
              <w:left w:val="nil"/>
              <w:bottom w:val="single" w:sz="4" w:space="0" w:color="auto"/>
              <w:right w:val="single" w:sz="4" w:space="0" w:color="auto"/>
            </w:tcBorders>
            <w:vAlign w:val="center"/>
            <w:hideMark/>
          </w:tcPr>
          <w:p w14:paraId="0AB5198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60A2290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922" w:type="dxa"/>
            <w:tcBorders>
              <w:top w:val="nil"/>
              <w:left w:val="nil"/>
              <w:bottom w:val="single" w:sz="4" w:space="0" w:color="auto"/>
              <w:right w:val="single" w:sz="4" w:space="0" w:color="auto"/>
            </w:tcBorders>
            <w:vAlign w:val="center"/>
            <w:hideMark/>
          </w:tcPr>
          <w:p w14:paraId="480C3C6B" w14:textId="61ABDF01"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2.000,0</w:t>
            </w:r>
          </w:p>
        </w:tc>
        <w:tc>
          <w:tcPr>
            <w:tcW w:w="1182" w:type="dxa"/>
            <w:tcBorders>
              <w:top w:val="nil"/>
              <w:left w:val="nil"/>
              <w:bottom w:val="single" w:sz="4" w:space="0" w:color="auto"/>
              <w:right w:val="single" w:sz="4" w:space="0" w:color="auto"/>
            </w:tcBorders>
            <w:vAlign w:val="center"/>
            <w:hideMark/>
          </w:tcPr>
          <w:p w14:paraId="1876B70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1D585F7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5201A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F159BA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018D3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2.000,0</w:t>
            </w:r>
          </w:p>
        </w:tc>
        <w:tc>
          <w:tcPr>
            <w:tcW w:w="1000" w:type="dxa"/>
            <w:tcBorders>
              <w:top w:val="nil"/>
              <w:left w:val="nil"/>
              <w:bottom w:val="single" w:sz="4" w:space="0" w:color="auto"/>
              <w:right w:val="single" w:sz="4" w:space="0" w:color="auto"/>
            </w:tcBorders>
            <w:vAlign w:val="center"/>
            <w:hideMark/>
          </w:tcPr>
          <w:p w14:paraId="05945E4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7F108F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2029</w:t>
            </w:r>
          </w:p>
        </w:tc>
        <w:tc>
          <w:tcPr>
            <w:tcW w:w="1162" w:type="dxa"/>
            <w:tcBorders>
              <w:top w:val="nil"/>
              <w:left w:val="nil"/>
              <w:bottom w:val="single" w:sz="4" w:space="0" w:color="auto"/>
              <w:right w:val="single" w:sz="4" w:space="0" w:color="auto"/>
            </w:tcBorders>
            <w:vAlign w:val="center"/>
            <w:hideMark/>
          </w:tcPr>
          <w:p w14:paraId="64F25A73" w14:textId="50416741"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F87F75">
              <w:rPr>
                <w:rFonts w:eastAsia="Times New Roman" w:cs="Times New Roman"/>
                <w:color w:val="000000"/>
                <w:sz w:val="20"/>
                <w:szCs w:val="20"/>
                <w:lang w:val="ro-RO"/>
                <w14:ligatures w14:val="none"/>
              </w:rPr>
              <w:t>Organizațiile societății civile</w:t>
            </w:r>
          </w:p>
        </w:tc>
      </w:tr>
      <w:tr w:rsidR="005D7A87" w:rsidRPr="000C6E07" w14:paraId="22E64F23" w14:textId="77777777" w:rsidTr="004356CF">
        <w:trPr>
          <w:trHeight w:val="2600"/>
        </w:trPr>
        <w:tc>
          <w:tcPr>
            <w:tcW w:w="568" w:type="dxa"/>
            <w:vMerge/>
            <w:tcBorders>
              <w:top w:val="nil"/>
              <w:left w:val="single" w:sz="4" w:space="0" w:color="auto"/>
              <w:bottom w:val="single" w:sz="4" w:space="0" w:color="auto"/>
              <w:right w:val="single" w:sz="4" w:space="0" w:color="auto"/>
            </w:tcBorders>
            <w:hideMark/>
          </w:tcPr>
          <w:p w14:paraId="44FB5B41"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9E8AA58"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DDBFB16" w14:textId="15786AAC" w:rsidR="005D7A87" w:rsidRPr="000C6E0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Cel puțin 80%</w:t>
            </w:r>
            <w:r w:rsidRPr="000C6E07">
              <w:rPr>
                <w:rFonts w:eastAsia="Times New Roman" w:cs="Times New Roman"/>
                <w:color w:val="000000"/>
                <w:sz w:val="20"/>
                <w:szCs w:val="20"/>
                <w:lang w:val="ro-RO"/>
                <w14:ligatures w14:val="none"/>
              </w:rPr>
              <w:t xml:space="preserve"> angajați desemnați pentru amenințări din mediul online</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 xml:space="preserve">din prima linie instruiți </w:t>
            </w:r>
          </w:p>
        </w:tc>
        <w:tc>
          <w:tcPr>
            <w:tcW w:w="1026" w:type="dxa"/>
            <w:tcBorders>
              <w:top w:val="nil"/>
              <w:left w:val="nil"/>
              <w:bottom w:val="single" w:sz="4" w:space="0" w:color="auto"/>
              <w:right w:val="single" w:sz="4" w:space="0" w:color="auto"/>
            </w:tcBorders>
            <w:vAlign w:val="center"/>
            <w:hideMark/>
          </w:tcPr>
          <w:p w14:paraId="2B3C646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100" w:type="dxa"/>
            <w:tcBorders>
              <w:top w:val="nil"/>
              <w:left w:val="nil"/>
              <w:bottom w:val="single" w:sz="4" w:space="0" w:color="auto"/>
              <w:right w:val="single" w:sz="4" w:space="0" w:color="auto"/>
            </w:tcBorders>
            <w:vAlign w:val="center"/>
            <w:hideMark/>
          </w:tcPr>
          <w:p w14:paraId="46E5263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FF8523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922" w:type="dxa"/>
            <w:tcBorders>
              <w:top w:val="nil"/>
              <w:left w:val="nil"/>
              <w:bottom w:val="single" w:sz="4" w:space="0" w:color="auto"/>
              <w:right w:val="single" w:sz="4" w:space="0" w:color="auto"/>
            </w:tcBorders>
            <w:vAlign w:val="center"/>
            <w:hideMark/>
          </w:tcPr>
          <w:p w14:paraId="5477DFD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5D2908D" w14:textId="77777777" w:rsidR="005D7A87" w:rsidRPr="000C6E07" w:rsidRDefault="005D7A87" w:rsidP="005D7A87">
            <w:pPr>
              <w:spacing w:after="0"/>
              <w:jc w:val="center"/>
              <w:rPr>
                <w:rFonts w:eastAsia="Times New Roman" w:cs="Times New Roman"/>
                <w:color w:val="000000"/>
                <w:sz w:val="20"/>
                <w:szCs w:val="20"/>
                <w:lang w:val="ro-RO"/>
                <w14:ligatures w14:val="none"/>
              </w:rPr>
            </w:pPr>
            <w:bookmarkStart w:id="8" w:name="_Hlk203570436"/>
            <w:r w:rsidRPr="000C6E07">
              <w:rPr>
                <w:rFonts w:eastAsia="Times New Roman" w:cs="Times New Roman"/>
                <w:color w:val="000000"/>
                <w:sz w:val="20"/>
                <w:szCs w:val="20"/>
                <w:lang w:val="ro-RO"/>
                <w14:ligatures w14:val="none"/>
              </w:rPr>
              <w:t>Oficiul Consiliului Europei</w:t>
            </w:r>
            <w:bookmarkEnd w:id="8"/>
          </w:p>
        </w:tc>
        <w:tc>
          <w:tcPr>
            <w:tcW w:w="1000" w:type="dxa"/>
            <w:tcBorders>
              <w:top w:val="nil"/>
              <w:left w:val="nil"/>
              <w:bottom w:val="single" w:sz="4" w:space="0" w:color="auto"/>
              <w:right w:val="single" w:sz="4" w:space="0" w:color="auto"/>
            </w:tcBorders>
            <w:vAlign w:val="center"/>
            <w:hideMark/>
          </w:tcPr>
          <w:p w14:paraId="4A001E1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18FC41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3621E0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627394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09CC4CD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DAD712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01D9FDB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Oficiul Consiliului Europei; Oficiul Avocatului Poporului; Asociația </w:t>
            </w:r>
            <w:proofErr w:type="spellStart"/>
            <w:r w:rsidRPr="000C6E07">
              <w:rPr>
                <w:rFonts w:eastAsia="Times New Roman" w:cs="Times New Roman"/>
                <w:color w:val="000000"/>
                <w:sz w:val="20"/>
                <w:szCs w:val="20"/>
                <w:lang w:val="ro-RO"/>
                <w14:ligatures w14:val="none"/>
              </w:rPr>
              <w:t>Promo</w:t>
            </w:r>
            <w:proofErr w:type="spellEnd"/>
            <w:r w:rsidRPr="000C6E07">
              <w:rPr>
                <w:rFonts w:eastAsia="Times New Roman" w:cs="Times New Roman"/>
                <w:color w:val="000000"/>
                <w:sz w:val="20"/>
                <w:szCs w:val="20"/>
                <w:lang w:val="ro-RO"/>
                <w14:ligatures w14:val="none"/>
              </w:rPr>
              <w:t>-LEX</w:t>
            </w:r>
          </w:p>
        </w:tc>
      </w:tr>
      <w:tr w:rsidR="005D7A87" w:rsidRPr="000C6E07" w14:paraId="3B4CF15F" w14:textId="77777777" w:rsidTr="004356CF">
        <w:trPr>
          <w:trHeight w:val="2340"/>
        </w:trPr>
        <w:tc>
          <w:tcPr>
            <w:tcW w:w="568" w:type="dxa"/>
            <w:vMerge/>
            <w:tcBorders>
              <w:top w:val="nil"/>
              <w:left w:val="single" w:sz="4" w:space="0" w:color="auto"/>
              <w:bottom w:val="single" w:sz="4" w:space="0" w:color="auto"/>
              <w:right w:val="single" w:sz="4" w:space="0" w:color="auto"/>
            </w:tcBorders>
            <w:hideMark/>
          </w:tcPr>
          <w:p w14:paraId="7876B167"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C80BC64"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1C851D2" w14:textId="5C805ACC"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Analiz</w:t>
            </w:r>
            <w:r>
              <w:rPr>
                <w:rFonts w:eastAsia="Times New Roman" w:cs="Times New Roman"/>
                <w:color w:val="000000"/>
                <w:sz w:val="20"/>
                <w:szCs w:val="20"/>
                <w:lang w:val="ro-RO"/>
                <w14:ligatures w14:val="none"/>
              </w:rPr>
              <w:t>a</w:t>
            </w:r>
            <w:r w:rsidRPr="000C6E07">
              <w:rPr>
                <w:rFonts w:eastAsia="Times New Roman" w:cs="Times New Roman"/>
                <w:color w:val="000000"/>
                <w:sz w:val="20"/>
                <w:szCs w:val="20"/>
                <w:lang w:val="ro-RO"/>
                <w14:ligatures w14:val="none"/>
              </w:rPr>
              <w:t xml:space="preserve"> dinamic</w:t>
            </w:r>
            <w:r>
              <w:rPr>
                <w:rFonts w:eastAsia="Times New Roman" w:cs="Times New Roman"/>
                <w:color w:val="000000"/>
                <w:sz w:val="20"/>
                <w:szCs w:val="20"/>
                <w:lang w:val="ro-RO"/>
                <w14:ligatures w14:val="none"/>
              </w:rPr>
              <w:t>ii</w:t>
            </w:r>
            <w:r w:rsidRPr="000C6E07">
              <w:rPr>
                <w:rFonts w:eastAsia="Times New Roman" w:cs="Times New Roman"/>
                <w:color w:val="000000"/>
                <w:sz w:val="20"/>
                <w:szCs w:val="20"/>
                <w:lang w:val="ro-RO"/>
                <w14:ligatures w14:val="none"/>
              </w:rPr>
              <w:t>, răspunsul</w:t>
            </w:r>
            <w:r>
              <w:rPr>
                <w:rFonts w:eastAsia="Times New Roman" w:cs="Times New Roman"/>
                <w:color w:val="000000"/>
                <w:sz w:val="20"/>
                <w:szCs w:val="20"/>
                <w:lang w:val="ro-RO"/>
                <w14:ligatures w14:val="none"/>
              </w:rPr>
              <w:t>ui și necesităților</w:t>
            </w:r>
            <w:r w:rsidRPr="000C6E07">
              <w:rPr>
                <w:rFonts w:eastAsia="Times New Roman" w:cs="Times New Roman"/>
                <w:color w:val="000000"/>
                <w:sz w:val="20"/>
                <w:szCs w:val="20"/>
                <w:lang w:val="ro-RO"/>
                <w14:ligatures w14:val="none"/>
              </w:rPr>
              <w:t xml:space="preserve"> serviciilor de ordine și securitate publică pentru gestionarea amenințărilor </w:t>
            </w:r>
            <w:r>
              <w:rPr>
                <w:rFonts w:eastAsia="Times New Roman" w:cs="Times New Roman"/>
                <w:color w:val="000000"/>
                <w:sz w:val="20"/>
                <w:szCs w:val="20"/>
                <w:lang w:val="ro-RO"/>
                <w14:ligatures w14:val="none"/>
              </w:rPr>
              <w:t xml:space="preserve">privind </w:t>
            </w:r>
            <w:r w:rsidRPr="000C6E07">
              <w:rPr>
                <w:rFonts w:eastAsia="Times New Roman" w:cs="Times New Roman"/>
                <w:color w:val="000000"/>
                <w:sz w:val="20"/>
                <w:szCs w:val="20"/>
                <w:lang w:val="ro-RO"/>
                <w14:ligatures w14:val="none"/>
              </w:rPr>
              <w:t>drepturile și siguranța populației asociate mediului digital;</w:t>
            </w:r>
          </w:p>
        </w:tc>
        <w:tc>
          <w:tcPr>
            <w:tcW w:w="1026" w:type="dxa"/>
            <w:tcBorders>
              <w:top w:val="nil"/>
              <w:left w:val="nil"/>
              <w:bottom w:val="single" w:sz="4" w:space="0" w:color="auto"/>
              <w:right w:val="single" w:sz="4" w:space="0" w:color="auto"/>
            </w:tcBorders>
            <w:vAlign w:val="center"/>
            <w:hideMark/>
          </w:tcPr>
          <w:p w14:paraId="2CF7CB1E"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938120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3719092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681499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8F08AE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F0CCAF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8D2DE1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C9EDE1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BBDC7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306C570"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82" w:type="dxa"/>
            <w:tcBorders>
              <w:top w:val="nil"/>
              <w:left w:val="nil"/>
              <w:bottom w:val="single" w:sz="4" w:space="0" w:color="auto"/>
              <w:right w:val="single" w:sz="4" w:space="0" w:color="auto"/>
            </w:tcBorders>
            <w:vAlign w:val="center"/>
            <w:hideMark/>
          </w:tcPr>
          <w:p w14:paraId="35D1103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3068B0A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7E0898A5" w14:textId="77777777" w:rsidTr="00761440">
        <w:trPr>
          <w:trHeight w:val="6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66D11467" w14:textId="217C0742" w:rsidR="005D7A87" w:rsidRPr="000C6E07" w:rsidRDefault="005D7A87" w:rsidP="005D7A87">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2. </w:t>
            </w:r>
            <w:r w:rsidRPr="00463FA0">
              <w:rPr>
                <w:rFonts w:eastAsia="Calibri"/>
                <w:b/>
                <w:bCs/>
                <w:sz w:val="20"/>
                <w:szCs w:val="20"/>
                <w:lang w:val="ro-RO" w:eastAsia="ru-RU"/>
              </w:rPr>
              <w:t>Surse de date integrate și dezvoltate pentru a genera informații cu valoare adăugată, care vor servi drept suport la luarea deciziilor până în anul 2030</w:t>
            </w:r>
          </w:p>
        </w:tc>
      </w:tr>
      <w:tr w:rsidR="005D7A87" w:rsidRPr="000C6E07" w14:paraId="6DAA3C52" w14:textId="77777777" w:rsidTr="004356CF">
        <w:trPr>
          <w:trHeight w:val="520"/>
        </w:trPr>
        <w:tc>
          <w:tcPr>
            <w:tcW w:w="568" w:type="dxa"/>
            <w:vMerge w:val="restart"/>
            <w:tcBorders>
              <w:top w:val="nil"/>
              <w:left w:val="single" w:sz="4" w:space="0" w:color="auto"/>
              <w:bottom w:val="single" w:sz="4" w:space="0" w:color="auto"/>
              <w:right w:val="single" w:sz="4" w:space="0" w:color="auto"/>
            </w:tcBorders>
            <w:hideMark/>
          </w:tcPr>
          <w:p w14:paraId="11D49E09" w14:textId="0ACB640B"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4BF6E8D"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Descrierea procesului operațional aferent inițierii analizei informației până la implementarea și evaluarea planurilor măsurilor, inclusiv a fluxului informațional pe segmentul analizei informației   </w:t>
            </w:r>
          </w:p>
        </w:tc>
        <w:tc>
          <w:tcPr>
            <w:tcW w:w="1843" w:type="dxa"/>
            <w:tcBorders>
              <w:top w:val="nil"/>
              <w:left w:val="nil"/>
              <w:bottom w:val="single" w:sz="4" w:space="0" w:color="auto"/>
              <w:right w:val="single" w:sz="4" w:space="0" w:color="auto"/>
            </w:tcBorders>
            <w:vAlign w:val="center"/>
            <w:hideMark/>
          </w:tcPr>
          <w:p w14:paraId="5F00E24D" w14:textId="07368F4D"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Proces operațional interinstituțional revizuit</w:t>
            </w:r>
            <w:r>
              <w:rPr>
                <w:rFonts w:eastAsia="Times New Roman" w:cs="Times New Roman"/>
                <w:color w:val="000000"/>
                <w:sz w:val="20"/>
                <w:szCs w:val="20"/>
                <w:lang w:val="ro-RO"/>
                <w14:ligatures w14:val="none"/>
              </w:rPr>
              <w:t>.</w:t>
            </w:r>
          </w:p>
        </w:tc>
        <w:tc>
          <w:tcPr>
            <w:tcW w:w="1026" w:type="dxa"/>
            <w:vMerge w:val="restart"/>
            <w:tcBorders>
              <w:top w:val="nil"/>
              <w:left w:val="single" w:sz="4" w:space="0" w:color="auto"/>
              <w:bottom w:val="single" w:sz="4" w:space="0" w:color="auto"/>
              <w:right w:val="single" w:sz="4" w:space="0" w:color="auto"/>
            </w:tcBorders>
            <w:vAlign w:val="center"/>
            <w:hideMark/>
          </w:tcPr>
          <w:p w14:paraId="3FF67DF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auto"/>
              <w:right w:val="single" w:sz="4" w:space="0" w:color="auto"/>
            </w:tcBorders>
            <w:vAlign w:val="center"/>
            <w:hideMark/>
          </w:tcPr>
          <w:p w14:paraId="6E4B25F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single" w:sz="4" w:space="0" w:color="auto"/>
              <w:bottom w:val="single" w:sz="4" w:space="0" w:color="auto"/>
              <w:right w:val="single" w:sz="4" w:space="0" w:color="auto"/>
            </w:tcBorders>
            <w:vAlign w:val="center"/>
            <w:hideMark/>
          </w:tcPr>
          <w:p w14:paraId="53FCB8F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2150D12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3474441F" w14:textId="0DB4510F"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vMerge w:val="restart"/>
            <w:tcBorders>
              <w:top w:val="nil"/>
              <w:left w:val="single" w:sz="4" w:space="0" w:color="auto"/>
              <w:bottom w:val="single" w:sz="4" w:space="0" w:color="auto"/>
              <w:right w:val="single" w:sz="4" w:space="0" w:color="auto"/>
            </w:tcBorders>
            <w:vAlign w:val="center"/>
            <w:hideMark/>
          </w:tcPr>
          <w:p w14:paraId="6B661E4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47A4221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single" w:sz="4" w:space="0" w:color="auto"/>
              <w:bottom w:val="single" w:sz="4" w:space="0" w:color="auto"/>
              <w:right w:val="single" w:sz="4" w:space="0" w:color="auto"/>
            </w:tcBorders>
            <w:vAlign w:val="center"/>
            <w:hideMark/>
          </w:tcPr>
          <w:p w14:paraId="7EBBE0A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08A772B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AE99C7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0F2573D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2027</w:t>
            </w:r>
          </w:p>
        </w:tc>
        <w:tc>
          <w:tcPr>
            <w:tcW w:w="1162" w:type="dxa"/>
            <w:vMerge w:val="restart"/>
            <w:tcBorders>
              <w:top w:val="nil"/>
              <w:left w:val="single" w:sz="4" w:space="0" w:color="auto"/>
              <w:bottom w:val="single" w:sz="4" w:space="0" w:color="auto"/>
              <w:right w:val="single" w:sz="4" w:space="0" w:color="auto"/>
            </w:tcBorders>
            <w:vAlign w:val="center"/>
            <w:hideMark/>
          </w:tcPr>
          <w:p w14:paraId="2AD94EA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37F02524"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36D8FAB8"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D173218"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DE9A6F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Procese operaționale  instituționale descrise.</w:t>
            </w:r>
          </w:p>
        </w:tc>
        <w:tc>
          <w:tcPr>
            <w:tcW w:w="1026" w:type="dxa"/>
            <w:vMerge/>
            <w:tcBorders>
              <w:top w:val="nil"/>
              <w:left w:val="single" w:sz="4" w:space="0" w:color="auto"/>
              <w:bottom w:val="single" w:sz="4" w:space="0" w:color="auto"/>
              <w:right w:val="single" w:sz="4" w:space="0" w:color="auto"/>
            </w:tcBorders>
            <w:vAlign w:val="center"/>
            <w:hideMark/>
          </w:tcPr>
          <w:p w14:paraId="47B779A5"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64C28AF4"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16598E95"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04BF98BD"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45533D63"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566D7AF"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56D0A72"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336A841"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2E1B4BC"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7DF5228"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4D5FBBC5"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6CB35C7D"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555EE3C1" w14:textId="77777777" w:rsidTr="008B16E2">
        <w:trPr>
          <w:trHeight w:val="1820"/>
        </w:trPr>
        <w:tc>
          <w:tcPr>
            <w:tcW w:w="568" w:type="dxa"/>
            <w:vMerge w:val="restart"/>
            <w:tcBorders>
              <w:top w:val="nil"/>
              <w:left w:val="single" w:sz="4" w:space="0" w:color="auto"/>
              <w:bottom w:val="single" w:sz="4" w:space="0" w:color="000000"/>
              <w:right w:val="single" w:sz="4" w:space="0" w:color="auto"/>
            </w:tcBorders>
            <w:hideMark/>
          </w:tcPr>
          <w:p w14:paraId="12CDA821" w14:textId="216E8E95"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000000"/>
              <w:right w:val="single" w:sz="4" w:space="0" w:color="auto"/>
            </w:tcBorders>
            <w:hideMark/>
          </w:tcPr>
          <w:p w14:paraId="76B7A97D"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Remodelarea Conceptului </w:t>
            </w:r>
            <w:r w:rsidRPr="000C6E07">
              <w:rPr>
                <w:rFonts w:eastAsia="Times New Roman" w:cs="Times New Roman"/>
                <w:i/>
                <w:iCs/>
                <w:color w:val="000000"/>
                <w:sz w:val="20"/>
                <w:szCs w:val="20"/>
                <w:lang w:val="ro-RO"/>
                <w14:ligatures w14:val="none"/>
              </w:rPr>
              <w:t>Intelligence Led-</w:t>
            </w:r>
            <w:proofErr w:type="spellStart"/>
            <w:r w:rsidRPr="000C6E07">
              <w:rPr>
                <w:rFonts w:eastAsia="Times New Roman" w:cs="Times New Roman"/>
                <w:i/>
                <w:iCs/>
                <w:color w:val="000000"/>
                <w:sz w:val="20"/>
                <w:szCs w:val="20"/>
                <w:lang w:val="ro-RO"/>
                <w14:ligatures w14:val="none"/>
              </w:rPr>
              <w:t>Policing</w:t>
            </w:r>
            <w:proofErr w:type="spellEnd"/>
            <w:r w:rsidRPr="000C6E07">
              <w:rPr>
                <w:rFonts w:eastAsia="Times New Roman" w:cs="Times New Roman"/>
                <w:color w:val="000000"/>
                <w:sz w:val="20"/>
                <w:szCs w:val="20"/>
                <w:lang w:val="ro-RO"/>
                <w14:ligatures w14:val="none"/>
              </w:rPr>
              <w:t xml:space="preserve"> la nivelul subdiviziunilor IGP</w:t>
            </w:r>
          </w:p>
        </w:tc>
        <w:tc>
          <w:tcPr>
            <w:tcW w:w="1843" w:type="dxa"/>
            <w:tcBorders>
              <w:top w:val="nil"/>
              <w:left w:val="nil"/>
              <w:bottom w:val="single" w:sz="4" w:space="0" w:color="auto"/>
              <w:right w:val="single" w:sz="4" w:space="0" w:color="auto"/>
            </w:tcBorders>
            <w:vAlign w:val="center"/>
            <w:hideMark/>
          </w:tcPr>
          <w:p w14:paraId="14DF9F80" w14:textId="77777777"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Planul de acțiuni pentru punerea în aplicare a recomandărilor din Raportul de evaluare privind implementarea ILP în cadrul IGP pentru anii 2025-2027 realizat</w:t>
            </w:r>
          </w:p>
          <w:p w14:paraId="7EEE26C1" w14:textId="1BA49B1E"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tcPr>
          <w:p w14:paraId="1151AE2E" w14:textId="3DF609AD"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Evaluarea va avea loc din partea OSCE</w:t>
            </w:r>
          </w:p>
        </w:tc>
        <w:tc>
          <w:tcPr>
            <w:tcW w:w="1100" w:type="dxa"/>
            <w:tcBorders>
              <w:top w:val="nil"/>
              <w:left w:val="nil"/>
              <w:bottom w:val="single" w:sz="4" w:space="0" w:color="auto"/>
              <w:right w:val="single" w:sz="4" w:space="0" w:color="auto"/>
            </w:tcBorders>
            <w:vAlign w:val="center"/>
            <w:hideMark/>
          </w:tcPr>
          <w:p w14:paraId="0593DC2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470810F" w14:textId="34B0017A" w:rsidR="005D7A87" w:rsidRPr="000C6E07" w:rsidRDefault="005D7A87" w:rsidP="005D7A87">
            <w:pPr>
              <w:spacing w:after="0"/>
              <w:jc w:val="center"/>
              <w:rPr>
                <w:rFonts w:eastAsia="Times New Roman" w:cs="Times New Roman"/>
                <w:color w:val="00000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3B13D03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228084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OSCE</w:t>
            </w:r>
          </w:p>
        </w:tc>
        <w:tc>
          <w:tcPr>
            <w:tcW w:w="1000" w:type="dxa"/>
            <w:tcBorders>
              <w:top w:val="nil"/>
              <w:left w:val="nil"/>
              <w:bottom w:val="single" w:sz="4" w:space="0" w:color="auto"/>
              <w:right w:val="single" w:sz="4" w:space="0" w:color="auto"/>
            </w:tcBorders>
            <w:vAlign w:val="center"/>
            <w:hideMark/>
          </w:tcPr>
          <w:p w14:paraId="54D16E8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189B40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CCDEA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87035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697EEF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DB67CE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single" w:sz="4" w:space="0" w:color="auto"/>
              <w:bottom w:val="single" w:sz="4" w:space="0" w:color="auto"/>
              <w:right w:val="single" w:sz="4" w:space="0" w:color="auto"/>
            </w:tcBorders>
            <w:vAlign w:val="center"/>
            <w:hideMark/>
          </w:tcPr>
          <w:p w14:paraId="2B3C2950" w14:textId="77777777"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p>
          <w:p w14:paraId="3CE26C3B" w14:textId="3E09B8C1"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OSCE</w:t>
            </w:r>
          </w:p>
        </w:tc>
      </w:tr>
      <w:tr w:rsidR="005D7A87" w:rsidRPr="000C6E07" w14:paraId="502844C9" w14:textId="77777777" w:rsidTr="00761440">
        <w:trPr>
          <w:trHeight w:val="780"/>
        </w:trPr>
        <w:tc>
          <w:tcPr>
            <w:tcW w:w="568" w:type="dxa"/>
            <w:vMerge/>
            <w:tcBorders>
              <w:top w:val="nil"/>
              <w:left w:val="single" w:sz="4" w:space="0" w:color="auto"/>
              <w:bottom w:val="single" w:sz="4" w:space="0" w:color="000000"/>
              <w:right w:val="single" w:sz="4" w:space="0" w:color="auto"/>
            </w:tcBorders>
            <w:hideMark/>
          </w:tcPr>
          <w:p w14:paraId="34545887"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22D4FEB9"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6CBA8AC" w14:textId="77777777"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final de evaluare a implementării planului elaborat</w:t>
            </w:r>
          </w:p>
          <w:p w14:paraId="603CC437" w14:textId="2D328957"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64056FD"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3D55D5B1"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20F3C07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22B74E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8310D20" w14:textId="0C343FD5"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CD14F7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E2E6C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BBD92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4876373" w14:textId="77777777" w:rsidR="005D7A87" w:rsidRPr="000C6E07" w:rsidRDefault="005D7A87" w:rsidP="005D7A87">
            <w:pPr>
              <w:spacing w:after="0"/>
              <w:jc w:val="center"/>
              <w:rPr>
                <w:rFonts w:eastAsia="Times New Roman" w:cs="Times New Roman"/>
                <w:color w:val="5B9BD5"/>
                <w:sz w:val="20"/>
                <w:szCs w:val="20"/>
                <w:lang w:val="ro-RO"/>
                <w14:ligatures w14:val="none"/>
              </w:rPr>
            </w:pPr>
            <w:r w:rsidRPr="005D7A8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78FEECEB" w14:textId="77777777" w:rsidR="005D7A87" w:rsidRPr="000C6E07" w:rsidRDefault="005D7A87" w:rsidP="005D7A87">
            <w:pPr>
              <w:spacing w:after="0"/>
              <w:jc w:val="center"/>
              <w:rPr>
                <w:rFonts w:eastAsia="Times New Roman" w:cs="Times New Roman"/>
                <w:color w:val="5B9BD5"/>
                <w:sz w:val="20"/>
                <w:szCs w:val="20"/>
                <w:lang w:val="ro-RO"/>
                <w14:ligatures w14:val="none"/>
              </w:rPr>
            </w:pPr>
            <w:r w:rsidRPr="000C6E07">
              <w:rPr>
                <w:rFonts w:eastAsia="Times New Roman" w:cs="Times New Roman"/>
                <w:color w:val="5B9BD5"/>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6D3F1C6" w14:textId="49A0C998" w:rsidR="005D7A87" w:rsidRPr="000C6E07" w:rsidRDefault="005D7A87" w:rsidP="005D7A87">
            <w:pPr>
              <w:spacing w:after="0"/>
              <w:jc w:val="center"/>
              <w:rPr>
                <w:rFonts w:eastAsia="Times New Roman" w:cs="Times New Roman"/>
                <w:color w:val="000000"/>
                <w:sz w:val="20"/>
                <w:szCs w:val="20"/>
                <w:lang w:val="ro-RO"/>
                <w14:ligatures w14:val="none"/>
              </w:rPr>
            </w:pPr>
            <w:r w:rsidRPr="00832FB2">
              <w:rPr>
                <w:rFonts w:eastAsia="Times New Roman" w:cs="Times New Roman"/>
                <w:color w:val="000000"/>
                <w:sz w:val="20"/>
                <w:szCs w:val="20"/>
                <w:lang w:val="ro-RO"/>
                <w14:ligatures w14:val="none"/>
              </w:rPr>
              <w:t>Trimestrul I, 2028</w:t>
            </w:r>
          </w:p>
        </w:tc>
        <w:tc>
          <w:tcPr>
            <w:tcW w:w="1162" w:type="dxa"/>
            <w:vMerge/>
            <w:tcBorders>
              <w:top w:val="nil"/>
              <w:left w:val="single" w:sz="4" w:space="0" w:color="auto"/>
              <w:bottom w:val="single" w:sz="4" w:space="0" w:color="auto"/>
              <w:right w:val="single" w:sz="4" w:space="0" w:color="auto"/>
            </w:tcBorders>
            <w:vAlign w:val="center"/>
            <w:hideMark/>
          </w:tcPr>
          <w:p w14:paraId="6BEF2340"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3AA6AD7A" w14:textId="77777777" w:rsidTr="00761440">
        <w:trPr>
          <w:trHeight w:val="307"/>
        </w:trPr>
        <w:tc>
          <w:tcPr>
            <w:tcW w:w="568" w:type="dxa"/>
            <w:vMerge/>
            <w:tcBorders>
              <w:top w:val="nil"/>
              <w:left w:val="single" w:sz="4" w:space="0" w:color="auto"/>
              <w:bottom w:val="single" w:sz="4" w:space="0" w:color="000000"/>
              <w:right w:val="single" w:sz="4" w:space="0" w:color="auto"/>
            </w:tcBorders>
            <w:hideMark/>
          </w:tcPr>
          <w:p w14:paraId="33E3BAA5"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427C2DCC"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19D3709B" w14:textId="77777777"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20 de formatori formați (15 – Inspectoratul General al Poliției,</w:t>
            </w:r>
          </w:p>
          <w:p w14:paraId="656A5F90" w14:textId="77777777"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2 - Inspectoratul de Management Operațional</w:t>
            </w:r>
          </w:p>
          <w:p w14:paraId="02753111" w14:textId="20A687C4"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 xml:space="preserve"> 3 –Inspectoratul General de Carabinieri)</w:t>
            </w:r>
          </w:p>
          <w:p w14:paraId="30F5CD7E" w14:textId="23D2BD91"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26" w:type="dxa"/>
            <w:vMerge w:val="restart"/>
            <w:tcBorders>
              <w:top w:val="nil"/>
              <w:left w:val="single" w:sz="4" w:space="0" w:color="auto"/>
              <w:bottom w:val="single" w:sz="4" w:space="0" w:color="auto"/>
              <w:right w:val="single" w:sz="4" w:space="0" w:color="auto"/>
            </w:tcBorders>
            <w:vAlign w:val="center"/>
            <w:hideMark/>
          </w:tcPr>
          <w:p w14:paraId="60D9213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544,1</w:t>
            </w:r>
          </w:p>
        </w:tc>
        <w:tc>
          <w:tcPr>
            <w:tcW w:w="1100" w:type="dxa"/>
            <w:tcBorders>
              <w:top w:val="nil"/>
              <w:left w:val="nil"/>
              <w:bottom w:val="single" w:sz="4" w:space="0" w:color="auto"/>
              <w:right w:val="single" w:sz="4" w:space="0" w:color="auto"/>
            </w:tcBorders>
            <w:vAlign w:val="center"/>
            <w:hideMark/>
          </w:tcPr>
          <w:p w14:paraId="04DBBE35"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351,0</w:t>
            </w:r>
          </w:p>
        </w:tc>
        <w:tc>
          <w:tcPr>
            <w:tcW w:w="1015" w:type="dxa"/>
            <w:tcBorders>
              <w:top w:val="nil"/>
              <w:left w:val="nil"/>
              <w:bottom w:val="single" w:sz="4" w:space="0" w:color="auto"/>
              <w:right w:val="single" w:sz="4" w:space="0" w:color="auto"/>
            </w:tcBorders>
            <w:vAlign w:val="center"/>
            <w:hideMark/>
          </w:tcPr>
          <w:p w14:paraId="7D1CA37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EB7C62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B39896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6958257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A1BD7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EE4E6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14:paraId="4942AD0B" w14:textId="41C093EA"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351,0</w:t>
            </w:r>
          </w:p>
        </w:tc>
        <w:tc>
          <w:tcPr>
            <w:tcW w:w="1000" w:type="dxa"/>
            <w:tcBorders>
              <w:top w:val="nil"/>
              <w:left w:val="nil"/>
              <w:bottom w:val="single" w:sz="4" w:space="0" w:color="auto"/>
              <w:right w:val="single" w:sz="4" w:space="0" w:color="auto"/>
            </w:tcBorders>
            <w:vAlign w:val="center"/>
            <w:hideMark/>
          </w:tcPr>
          <w:p w14:paraId="1DF560D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69916D9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val="restart"/>
            <w:tcBorders>
              <w:top w:val="nil"/>
              <w:left w:val="single" w:sz="4" w:space="0" w:color="auto"/>
              <w:bottom w:val="single" w:sz="4" w:space="0" w:color="auto"/>
              <w:right w:val="single" w:sz="4" w:space="0" w:color="auto"/>
            </w:tcBorders>
            <w:vAlign w:val="center"/>
            <w:hideMark/>
          </w:tcPr>
          <w:p w14:paraId="0B258D3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3B5ABE6C" w14:textId="77777777" w:rsidTr="00761440">
        <w:trPr>
          <w:trHeight w:val="290"/>
        </w:trPr>
        <w:tc>
          <w:tcPr>
            <w:tcW w:w="568" w:type="dxa"/>
            <w:vMerge/>
            <w:tcBorders>
              <w:top w:val="nil"/>
              <w:left w:val="single" w:sz="4" w:space="0" w:color="auto"/>
              <w:bottom w:val="single" w:sz="4" w:space="0" w:color="000000"/>
              <w:right w:val="single" w:sz="4" w:space="0" w:color="auto"/>
            </w:tcBorders>
            <w:hideMark/>
          </w:tcPr>
          <w:p w14:paraId="2759F3E5"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40EE521C"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11D0E5AD"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1607C7BC"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hideMark/>
          </w:tcPr>
          <w:p w14:paraId="43863F6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70,2</w:t>
            </w:r>
          </w:p>
        </w:tc>
        <w:tc>
          <w:tcPr>
            <w:tcW w:w="1015" w:type="dxa"/>
            <w:tcBorders>
              <w:top w:val="nil"/>
              <w:left w:val="nil"/>
              <w:bottom w:val="single" w:sz="4" w:space="0" w:color="auto"/>
              <w:right w:val="single" w:sz="4" w:space="0" w:color="auto"/>
            </w:tcBorders>
            <w:vAlign w:val="center"/>
            <w:hideMark/>
          </w:tcPr>
          <w:p w14:paraId="103A3C0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51E104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D62E93B" w14:textId="724B2455"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269A3ED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668D59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ED6800E"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14:paraId="05FB8B81" w14:textId="13F74F61"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70,2</w:t>
            </w:r>
          </w:p>
        </w:tc>
        <w:tc>
          <w:tcPr>
            <w:tcW w:w="1000" w:type="dxa"/>
            <w:tcBorders>
              <w:top w:val="nil"/>
              <w:left w:val="nil"/>
              <w:bottom w:val="single" w:sz="4" w:space="0" w:color="auto"/>
              <w:right w:val="single" w:sz="4" w:space="0" w:color="auto"/>
            </w:tcBorders>
            <w:vAlign w:val="center"/>
            <w:hideMark/>
          </w:tcPr>
          <w:p w14:paraId="1E23956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56284DF7"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6343CEA0"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02B6F5C8" w14:textId="77777777" w:rsidTr="00761440">
        <w:trPr>
          <w:trHeight w:val="290"/>
        </w:trPr>
        <w:tc>
          <w:tcPr>
            <w:tcW w:w="568" w:type="dxa"/>
            <w:vMerge/>
            <w:tcBorders>
              <w:top w:val="nil"/>
              <w:left w:val="single" w:sz="4" w:space="0" w:color="auto"/>
              <w:bottom w:val="single" w:sz="4" w:space="0" w:color="000000"/>
              <w:right w:val="single" w:sz="4" w:space="0" w:color="auto"/>
            </w:tcBorders>
            <w:hideMark/>
          </w:tcPr>
          <w:p w14:paraId="2347F719"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1ADF46F6"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02B20CC9"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03A11E17"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hideMark/>
          </w:tcPr>
          <w:p w14:paraId="570C0C2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122,9</w:t>
            </w:r>
          </w:p>
        </w:tc>
        <w:tc>
          <w:tcPr>
            <w:tcW w:w="1015" w:type="dxa"/>
            <w:tcBorders>
              <w:top w:val="nil"/>
              <w:left w:val="nil"/>
              <w:bottom w:val="single" w:sz="4" w:space="0" w:color="auto"/>
              <w:right w:val="single" w:sz="4" w:space="0" w:color="auto"/>
            </w:tcBorders>
            <w:vAlign w:val="center"/>
            <w:hideMark/>
          </w:tcPr>
          <w:p w14:paraId="043A5288" w14:textId="77777777" w:rsidR="005D7A87" w:rsidRPr="000C6E07" w:rsidRDefault="005D7A87" w:rsidP="005D7A87">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922" w:type="dxa"/>
            <w:tcBorders>
              <w:top w:val="nil"/>
              <w:left w:val="nil"/>
              <w:bottom w:val="single" w:sz="4" w:space="0" w:color="auto"/>
              <w:right w:val="single" w:sz="4" w:space="0" w:color="auto"/>
            </w:tcBorders>
            <w:vAlign w:val="center"/>
            <w:hideMark/>
          </w:tcPr>
          <w:p w14:paraId="4C7CDBF6" w14:textId="77777777" w:rsidR="005D7A87" w:rsidRPr="000C6E07" w:rsidRDefault="005D7A87" w:rsidP="005D7A87">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182" w:type="dxa"/>
            <w:tcBorders>
              <w:top w:val="nil"/>
              <w:left w:val="nil"/>
              <w:bottom w:val="single" w:sz="4" w:space="0" w:color="auto"/>
              <w:right w:val="single" w:sz="4" w:space="0" w:color="auto"/>
            </w:tcBorders>
            <w:vAlign w:val="center"/>
            <w:hideMark/>
          </w:tcPr>
          <w:p w14:paraId="6D0F3AD1" w14:textId="1F46258B" w:rsidR="005D7A87" w:rsidRPr="0058254F" w:rsidRDefault="005D7A87" w:rsidP="005D7A87">
            <w:pPr>
              <w:spacing w:after="0"/>
              <w:jc w:val="center"/>
              <w:rPr>
                <w:rFonts w:ascii="Calibri" w:eastAsia="Times New Roman" w:hAnsi="Calibri" w:cs="Calibri"/>
                <w:color w:val="000000"/>
                <w:sz w:val="22"/>
                <w:highlight w:val="yellow"/>
                <w:lang w:val="ro-RO"/>
                <w14:ligatures w14:val="none"/>
              </w:rPr>
            </w:pPr>
            <w:r>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C504494" w14:textId="77777777" w:rsidR="005D7A87" w:rsidRPr="000C6E07" w:rsidRDefault="005D7A87" w:rsidP="005D7A87">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2E63EE42" w14:textId="77777777" w:rsidR="005D7A87" w:rsidRPr="000C6E07" w:rsidRDefault="005D7A87" w:rsidP="005D7A87">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nil"/>
              <w:left w:val="nil"/>
              <w:bottom w:val="single" w:sz="4" w:space="0" w:color="auto"/>
              <w:right w:val="single" w:sz="4" w:space="0" w:color="auto"/>
            </w:tcBorders>
            <w:vAlign w:val="center"/>
            <w:hideMark/>
          </w:tcPr>
          <w:p w14:paraId="4AB823A1" w14:textId="77777777" w:rsidR="005D7A87" w:rsidRPr="000C6E07" w:rsidRDefault="005D7A87" w:rsidP="005D7A87">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00" w:type="dxa"/>
            <w:tcBorders>
              <w:top w:val="single" w:sz="4" w:space="0" w:color="auto"/>
              <w:left w:val="single" w:sz="4" w:space="0" w:color="auto"/>
              <w:bottom w:val="single" w:sz="4" w:space="0" w:color="auto"/>
              <w:right w:val="single" w:sz="4" w:space="0" w:color="auto"/>
            </w:tcBorders>
            <w:vAlign w:val="center"/>
            <w:hideMark/>
          </w:tcPr>
          <w:p w14:paraId="153BC689" w14:textId="11ACE7C6"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122,9</w:t>
            </w:r>
          </w:p>
        </w:tc>
        <w:tc>
          <w:tcPr>
            <w:tcW w:w="1000" w:type="dxa"/>
            <w:tcBorders>
              <w:top w:val="nil"/>
              <w:left w:val="nil"/>
              <w:bottom w:val="single" w:sz="4" w:space="0" w:color="auto"/>
              <w:right w:val="single" w:sz="4" w:space="0" w:color="auto"/>
            </w:tcBorders>
            <w:vAlign w:val="center"/>
            <w:hideMark/>
          </w:tcPr>
          <w:p w14:paraId="313C3097" w14:textId="77777777" w:rsidR="005D7A87" w:rsidRPr="000C6E07" w:rsidRDefault="005D7A87" w:rsidP="005D7A87">
            <w:pPr>
              <w:spacing w:after="0"/>
              <w:jc w:val="center"/>
              <w:rPr>
                <w:rFonts w:ascii="Calibri" w:eastAsia="Times New Roman" w:hAnsi="Calibri" w:cs="Calibri"/>
                <w:color w:val="000000"/>
                <w:sz w:val="22"/>
                <w:lang w:val="ro-RO"/>
                <w14:ligatures w14:val="none"/>
              </w:rPr>
            </w:pPr>
            <w:r w:rsidRPr="000C6E07">
              <w:rPr>
                <w:rFonts w:ascii="Calibri" w:eastAsia="Times New Roman" w:hAnsi="Calibri" w:cs="Calibri"/>
                <w:color w:val="000000"/>
                <w:sz w:val="22"/>
                <w:lang w:val="ro-RO"/>
                <w14:ligatures w14:val="none"/>
              </w:rPr>
              <w:t> </w:t>
            </w:r>
          </w:p>
        </w:tc>
        <w:tc>
          <w:tcPr>
            <w:tcW w:w="1082" w:type="dxa"/>
            <w:vMerge/>
            <w:tcBorders>
              <w:top w:val="nil"/>
              <w:left w:val="single" w:sz="4" w:space="0" w:color="auto"/>
              <w:bottom w:val="single" w:sz="4" w:space="0" w:color="auto"/>
              <w:right w:val="single" w:sz="4" w:space="0" w:color="auto"/>
            </w:tcBorders>
            <w:vAlign w:val="center"/>
            <w:hideMark/>
          </w:tcPr>
          <w:p w14:paraId="6D20DAE2"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2079FBA0"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1D0BF49C" w14:textId="77777777" w:rsidTr="004356CF">
        <w:trPr>
          <w:trHeight w:val="290"/>
        </w:trPr>
        <w:tc>
          <w:tcPr>
            <w:tcW w:w="568" w:type="dxa"/>
            <w:vMerge/>
            <w:tcBorders>
              <w:top w:val="nil"/>
              <w:left w:val="single" w:sz="4" w:space="0" w:color="auto"/>
              <w:bottom w:val="single" w:sz="4" w:space="0" w:color="000000"/>
              <w:right w:val="single" w:sz="4" w:space="0" w:color="auto"/>
            </w:tcBorders>
            <w:hideMark/>
          </w:tcPr>
          <w:p w14:paraId="3FFFA62A"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4D966F0D"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val="restart"/>
            <w:tcBorders>
              <w:top w:val="nil"/>
              <w:left w:val="single" w:sz="4" w:space="0" w:color="auto"/>
              <w:bottom w:val="single" w:sz="4" w:space="0" w:color="auto"/>
              <w:right w:val="single" w:sz="4" w:space="0" w:color="auto"/>
            </w:tcBorders>
            <w:vAlign w:val="center"/>
            <w:hideMark/>
          </w:tcPr>
          <w:p w14:paraId="12FE7957" w14:textId="13F82A1A" w:rsid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Cel puțin 80% din analiști instruiți privind elaborarea</w:t>
            </w:r>
            <w:r w:rsidRPr="000C6E07">
              <w:rPr>
                <w:rFonts w:eastAsia="Times New Roman" w:cs="Times New Roman"/>
                <w:color w:val="000000"/>
                <w:sz w:val="20"/>
                <w:szCs w:val="20"/>
                <w:lang w:val="ro-RO"/>
                <w14:ligatures w14:val="none"/>
              </w:rPr>
              <w:t xml:space="preserve"> produselor analitice</w:t>
            </w:r>
          </w:p>
          <w:p w14:paraId="1F2F35BE" w14:textId="0CA437D4"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 </w:t>
            </w:r>
          </w:p>
        </w:tc>
        <w:tc>
          <w:tcPr>
            <w:tcW w:w="1026" w:type="dxa"/>
            <w:vMerge w:val="restart"/>
            <w:tcBorders>
              <w:top w:val="nil"/>
              <w:left w:val="single" w:sz="4" w:space="0" w:color="auto"/>
              <w:bottom w:val="single" w:sz="4" w:space="0" w:color="auto"/>
              <w:right w:val="single" w:sz="4" w:space="0" w:color="auto"/>
            </w:tcBorders>
            <w:vAlign w:val="center"/>
            <w:hideMark/>
          </w:tcPr>
          <w:p w14:paraId="712D82B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126,0</w:t>
            </w:r>
          </w:p>
        </w:tc>
        <w:tc>
          <w:tcPr>
            <w:tcW w:w="1100" w:type="dxa"/>
            <w:tcBorders>
              <w:top w:val="nil"/>
              <w:left w:val="nil"/>
              <w:bottom w:val="single" w:sz="4" w:space="0" w:color="auto"/>
              <w:right w:val="single" w:sz="4" w:space="0" w:color="auto"/>
            </w:tcBorders>
            <w:vAlign w:val="center"/>
            <w:hideMark/>
          </w:tcPr>
          <w:p w14:paraId="79FC149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98,0</w:t>
            </w:r>
          </w:p>
        </w:tc>
        <w:tc>
          <w:tcPr>
            <w:tcW w:w="1015" w:type="dxa"/>
            <w:tcBorders>
              <w:top w:val="nil"/>
              <w:left w:val="nil"/>
              <w:bottom w:val="single" w:sz="4" w:space="0" w:color="auto"/>
              <w:right w:val="single" w:sz="4" w:space="0" w:color="auto"/>
            </w:tcBorders>
            <w:vAlign w:val="center"/>
            <w:hideMark/>
          </w:tcPr>
          <w:p w14:paraId="56AE158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F7BE86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F90936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6873051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F984D1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0D2CC4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1F417A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2C3C9400" w14:textId="0832042C"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98,0</w:t>
            </w:r>
          </w:p>
        </w:tc>
        <w:tc>
          <w:tcPr>
            <w:tcW w:w="1082" w:type="dxa"/>
            <w:vMerge w:val="restart"/>
            <w:tcBorders>
              <w:top w:val="nil"/>
              <w:left w:val="single" w:sz="4" w:space="0" w:color="auto"/>
              <w:bottom w:val="single" w:sz="4" w:space="0" w:color="auto"/>
              <w:right w:val="single" w:sz="4" w:space="0" w:color="auto"/>
            </w:tcBorders>
            <w:vAlign w:val="center"/>
            <w:hideMark/>
          </w:tcPr>
          <w:p w14:paraId="2B06832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bottom w:val="single" w:sz="4" w:space="0" w:color="auto"/>
              <w:right w:val="single" w:sz="4" w:space="0" w:color="auto"/>
            </w:tcBorders>
            <w:vAlign w:val="center"/>
            <w:hideMark/>
          </w:tcPr>
          <w:p w14:paraId="33E2C0D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62DB8FD9" w14:textId="77777777" w:rsidTr="00761440">
        <w:trPr>
          <w:trHeight w:val="290"/>
        </w:trPr>
        <w:tc>
          <w:tcPr>
            <w:tcW w:w="568" w:type="dxa"/>
            <w:vMerge/>
            <w:tcBorders>
              <w:top w:val="nil"/>
              <w:left w:val="single" w:sz="4" w:space="0" w:color="auto"/>
              <w:bottom w:val="single" w:sz="4" w:space="0" w:color="000000"/>
              <w:right w:val="single" w:sz="4" w:space="0" w:color="auto"/>
            </w:tcBorders>
            <w:hideMark/>
          </w:tcPr>
          <w:p w14:paraId="6EB3C09D"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00F12CDE"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3F52EE6E"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6B91CB20"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hideMark/>
          </w:tcPr>
          <w:p w14:paraId="532A75C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w:t>
            </w:r>
          </w:p>
        </w:tc>
        <w:tc>
          <w:tcPr>
            <w:tcW w:w="1015" w:type="dxa"/>
            <w:tcBorders>
              <w:top w:val="nil"/>
              <w:left w:val="nil"/>
              <w:bottom w:val="single" w:sz="4" w:space="0" w:color="auto"/>
              <w:right w:val="single" w:sz="4" w:space="0" w:color="auto"/>
            </w:tcBorders>
            <w:vAlign w:val="center"/>
            <w:hideMark/>
          </w:tcPr>
          <w:p w14:paraId="1EF4FD2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7A195C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CFC5C8B" w14:textId="407E7D47"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08772B7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ECC694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F0715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39ADB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68CA1068" w14:textId="01D6CEE6"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w:t>
            </w:r>
          </w:p>
        </w:tc>
        <w:tc>
          <w:tcPr>
            <w:tcW w:w="1082" w:type="dxa"/>
            <w:vMerge/>
            <w:tcBorders>
              <w:top w:val="nil"/>
              <w:left w:val="single" w:sz="4" w:space="0" w:color="auto"/>
              <w:bottom w:val="single" w:sz="4" w:space="0" w:color="auto"/>
              <w:right w:val="single" w:sz="4" w:space="0" w:color="auto"/>
            </w:tcBorders>
            <w:vAlign w:val="center"/>
            <w:hideMark/>
          </w:tcPr>
          <w:p w14:paraId="2AE45833"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5185E05"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3086656D" w14:textId="77777777" w:rsidTr="00761440">
        <w:trPr>
          <w:trHeight w:val="290"/>
        </w:trPr>
        <w:tc>
          <w:tcPr>
            <w:tcW w:w="568" w:type="dxa"/>
            <w:vMerge/>
            <w:tcBorders>
              <w:top w:val="nil"/>
              <w:left w:val="single" w:sz="4" w:space="0" w:color="auto"/>
              <w:bottom w:val="single" w:sz="4" w:space="0" w:color="000000"/>
              <w:right w:val="single" w:sz="4" w:space="0" w:color="auto"/>
            </w:tcBorders>
            <w:hideMark/>
          </w:tcPr>
          <w:p w14:paraId="1C2A7437"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23B9298A"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117B5885"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026" w:type="dxa"/>
            <w:vMerge/>
            <w:tcBorders>
              <w:top w:val="nil"/>
              <w:left w:val="single" w:sz="4" w:space="0" w:color="auto"/>
              <w:bottom w:val="single" w:sz="4" w:space="0" w:color="auto"/>
              <w:right w:val="single" w:sz="4" w:space="0" w:color="auto"/>
            </w:tcBorders>
            <w:vAlign w:val="center"/>
            <w:hideMark/>
          </w:tcPr>
          <w:p w14:paraId="43FFA16F" w14:textId="77777777" w:rsidR="005D7A87" w:rsidRPr="000C6E07" w:rsidRDefault="005D7A87" w:rsidP="005D7A87">
            <w:pPr>
              <w:spacing w:after="0"/>
              <w:rPr>
                <w:rFonts w:eastAsia="Times New Roman" w:cs="Times New Roman"/>
                <w:color w:val="0070C0"/>
                <w:sz w:val="20"/>
                <w:szCs w:val="20"/>
                <w:lang w:val="ro-RO"/>
                <w14:ligatures w14:val="none"/>
              </w:rPr>
            </w:pPr>
          </w:p>
        </w:tc>
        <w:tc>
          <w:tcPr>
            <w:tcW w:w="1100" w:type="dxa"/>
            <w:tcBorders>
              <w:top w:val="nil"/>
              <w:left w:val="nil"/>
              <w:bottom w:val="single" w:sz="4" w:space="0" w:color="auto"/>
              <w:right w:val="single" w:sz="4" w:space="0" w:color="auto"/>
            </w:tcBorders>
            <w:vAlign w:val="center"/>
            <w:hideMark/>
          </w:tcPr>
          <w:p w14:paraId="40E1053A"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w:t>
            </w:r>
          </w:p>
        </w:tc>
        <w:tc>
          <w:tcPr>
            <w:tcW w:w="1015" w:type="dxa"/>
            <w:tcBorders>
              <w:top w:val="nil"/>
              <w:left w:val="nil"/>
              <w:bottom w:val="single" w:sz="4" w:space="0" w:color="auto"/>
              <w:right w:val="single" w:sz="4" w:space="0" w:color="auto"/>
            </w:tcBorders>
            <w:vAlign w:val="center"/>
            <w:hideMark/>
          </w:tcPr>
          <w:p w14:paraId="13925D1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10AC93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5D75A1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1A7127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17C6CB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D62C01C"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070A4A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single" w:sz="4" w:space="0" w:color="auto"/>
              <w:bottom w:val="single" w:sz="4" w:space="0" w:color="auto"/>
              <w:right w:val="single" w:sz="4" w:space="0" w:color="auto"/>
            </w:tcBorders>
            <w:vAlign w:val="center"/>
            <w:hideMark/>
          </w:tcPr>
          <w:p w14:paraId="1C6A44A9" w14:textId="28CC08E6"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w:t>
            </w:r>
          </w:p>
        </w:tc>
        <w:tc>
          <w:tcPr>
            <w:tcW w:w="1082" w:type="dxa"/>
            <w:vMerge/>
            <w:tcBorders>
              <w:top w:val="nil"/>
              <w:left w:val="single" w:sz="4" w:space="0" w:color="auto"/>
              <w:bottom w:val="single" w:sz="4" w:space="0" w:color="auto"/>
              <w:right w:val="single" w:sz="4" w:space="0" w:color="auto"/>
            </w:tcBorders>
            <w:vAlign w:val="center"/>
            <w:hideMark/>
          </w:tcPr>
          <w:p w14:paraId="33D8C9A2"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EBC1535"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228EB991" w14:textId="77777777" w:rsidTr="004356CF">
        <w:trPr>
          <w:trHeight w:val="1040"/>
        </w:trPr>
        <w:tc>
          <w:tcPr>
            <w:tcW w:w="568" w:type="dxa"/>
            <w:vMerge/>
            <w:tcBorders>
              <w:top w:val="nil"/>
              <w:left w:val="single" w:sz="4" w:space="0" w:color="auto"/>
              <w:bottom w:val="single" w:sz="4" w:space="0" w:color="000000"/>
              <w:right w:val="single" w:sz="4" w:space="0" w:color="auto"/>
            </w:tcBorders>
            <w:hideMark/>
          </w:tcPr>
          <w:p w14:paraId="2EEDD1E7"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749A5372"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12B52A1" w14:textId="72A864D3" w:rsid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Cel puțin 80% din conducători instruiți privind utilizarea produselor analitice în fundamentarea deciziilor</w:t>
            </w:r>
          </w:p>
          <w:p w14:paraId="5F803605" w14:textId="536C6A00"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4A5568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70,0</w:t>
            </w:r>
          </w:p>
        </w:tc>
        <w:tc>
          <w:tcPr>
            <w:tcW w:w="1100" w:type="dxa"/>
            <w:tcBorders>
              <w:top w:val="nil"/>
              <w:left w:val="nil"/>
              <w:bottom w:val="single" w:sz="4" w:space="0" w:color="auto"/>
              <w:right w:val="single" w:sz="4" w:space="0" w:color="auto"/>
            </w:tcBorders>
            <w:vAlign w:val="center"/>
            <w:hideMark/>
          </w:tcPr>
          <w:p w14:paraId="65F5446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70,0</w:t>
            </w:r>
          </w:p>
        </w:tc>
        <w:tc>
          <w:tcPr>
            <w:tcW w:w="1015" w:type="dxa"/>
            <w:tcBorders>
              <w:top w:val="nil"/>
              <w:left w:val="nil"/>
              <w:bottom w:val="single" w:sz="4" w:space="0" w:color="auto"/>
              <w:right w:val="single" w:sz="4" w:space="0" w:color="auto"/>
            </w:tcBorders>
            <w:vAlign w:val="center"/>
            <w:hideMark/>
          </w:tcPr>
          <w:p w14:paraId="0D4EB2B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F2BA56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875F2E1" w14:textId="1E04C9B4"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0FF388F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CDB374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0E4E28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7D259C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CB559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70,0</w:t>
            </w:r>
          </w:p>
        </w:tc>
        <w:tc>
          <w:tcPr>
            <w:tcW w:w="1082" w:type="dxa"/>
            <w:tcBorders>
              <w:top w:val="nil"/>
              <w:left w:val="nil"/>
              <w:bottom w:val="single" w:sz="4" w:space="0" w:color="auto"/>
              <w:right w:val="single" w:sz="4" w:space="0" w:color="auto"/>
            </w:tcBorders>
            <w:vAlign w:val="center"/>
            <w:hideMark/>
          </w:tcPr>
          <w:p w14:paraId="229ED56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426E751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1B28AEDF" w14:textId="77777777" w:rsidTr="002E6C2F">
        <w:trPr>
          <w:trHeight w:val="79"/>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67900550" w14:textId="3E275A3D" w:rsidR="005D7A87" w:rsidRPr="000C6E07" w:rsidRDefault="005D7A87" w:rsidP="005D7A87">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3. </w:t>
            </w:r>
            <w:r w:rsidRPr="00463FA0">
              <w:rPr>
                <w:b/>
                <w:bCs/>
                <w:sz w:val="20"/>
                <w:szCs w:val="20"/>
                <w:lang w:val="ro-RO" w:eastAsia="ru-RU"/>
              </w:rPr>
              <w:t>Conceptul de activitate polițienească comunitară extins în cazul a  100% din  sectoarele de poliție până în anul 2030</w:t>
            </w:r>
          </w:p>
        </w:tc>
      </w:tr>
      <w:tr w:rsidR="005D7A87" w:rsidRPr="000C6E07" w14:paraId="19021EEE" w14:textId="77777777" w:rsidTr="004356CF">
        <w:trPr>
          <w:trHeight w:val="1560"/>
        </w:trPr>
        <w:tc>
          <w:tcPr>
            <w:tcW w:w="568" w:type="dxa"/>
            <w:tcBorders>
              <w:top w:val="nil"/>
              <w:left w:val="single" w:sz="4" w:space="0" w:color="auto"/>
              <w:bottom w:val="single" w:sz="4" w:space="0" w:color="auto"/>
              <w:right w:val="single" w:sz="4" w:space="0" w:color="auto"/>
            </w:tcBorders>
            <w:hideMark/>
          </w:tcPr>
          <w:p w14:paraId="5871AAB8" w14:textId="24AB8E60"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1BAF33C8"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Elaborarea criteriilor de performanță pentru activitatea polițienească  comunitară </w:t>
            </w:r>
          </w:p>
        </w:tc>
        <w:tc>
          <w:tcPr>
            <w:tcW w:w="1843" w:type="dxa"/>
            <w:tcBorders>
              <w:top w:val="nil"/>
              <w:left w:val="nil"/>
              <w:bottom w:val="single" w:sz="4" w:space="0" w:color="auto"/>
              <w:right w:val="single" w:sz="4" w:space="0" w:color="auto"/>
            </w:tcBorders>
            <w:vAlign w:val="center"/>
            <w:hideMark/>
          </w:tcPr>
          <w:p w14:paraId="2B62387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Criterii de performanță pentru activitatea polițienească  comunitară stabilite (sondaje, proiecte etc.)</w:t>
            </w:r>
          </w:p>
        </w:tc>
        <w:tc>
          <w:tcPr>
            <w:tcW w:w="1026" w:type="dxa"/>
            <w:tcBorders>
              <w:top w:val="nil"/>
              <w:left w:val="nil"/>
              <w:bottom w:val="single" w:sz="4" w:space="0" w:color="auto"/>
              <w:right w:val="single" w:sz="4" w:space="0" w:color="auto"/>
            </w:tcBorders>
            <w:vAlign w:val="center"/>
            <w:hideMark/>
          </w:tcPr>
          <w:p w14:paraId="721C87D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100" w:type="dxa"/>
            <w:tcBorders>
              <w:top w:val="nil"/>
              <w:left w:val="nil"/>
              <w:bottom w:val="single" w:sz="4" w:space="0" w:color="auto"/>
              <w:right w:val="single" w:sz="4" w:space="0" w:color="auto"/>
            </w:tcBorders>
            <w:vAlign w:val="center"/>
            <w:hideMark/>
          </w:tcPr>
          <w:p w14:paraId="4B942AC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0E3B09AA"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922" w:type="dxa"/>
            <w:tcBorders>
              <w:top w:val="nil"/>
              <w:left w:val="nil"/>
              <w:bottom w:val="single" w:sz="4" w:space="0" w:color="auto"/>
              <w:right w:val="single" w:sz="4" w:space="0" w:color="auto"/>
            </w:tcBorders>
            <w:vAlign w:val="center"/>
            <w:hideMark/>
          </w:tcPr>
          <w:p w14:paraId="09EE76A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C4AD1D7" w14:textId="77777777" w:rsidR="005D7A87" w:rsidRPr="000C6E07" w:rsidRDefault="005D7A87" w:rsidP="005D7A87">
            <w:pPr>
              <w:spacing w:after="0"/>
              <w:jc w:val="center"/>
              <w:rPr>
                <w:rFonts w:eastAsia="Times New Roman" w:cs="Times New Roman"/>
                <w:color w:val="000000"/>
                <w:sz w:val="20"/>
                <w:szCs w:val="20"/>
                <w:lang w:val="ro-RO"/>
                <w14:ligatures w14:val="none"/>
              </w:rPr>
            </w:pPr>
            <w:bookmarkStart w:id="9" w:name="_Hlk203575922"/>
            <w:r w:rsidRPr="000C6E07">
              <w:rPr>
                <w:rFonts w:eastAsia="Times New Roman" w:cs="Times New Roman"/>
                <w:color w:val="000000"/>
                <w:sz w:val="20"/>
                <w:szCs w:val="20"/>
                <w:lang w:val="ro-RO"/>
                <w14:ligatures w14:val="none"/>
              </w:rPr>
              <w:t>Regatul Suediei</w:t>
            </w:r>
            <w:bookmarkEnd w:id="9"/>
          </w:p>
        </w:tc>
        <w:tc>
          <w:tcPr>
            <w:tcW w:w="1000" w:type="dxa"/>
            <w:tcBorders>
              <w:top w:val="nil"/>
              <w:left w:val="nil"/>
              <w:bottom w:val="single" w:sz="4" w:space="0" w:color="auto"/>
              <w:right w:val="single" w:sz="4" w:space="0" w:color="auto"/>
            </w:tcBorders>
            <w:vAlign w:val="center"/>
            <w:hideMark/>
          </w:tcPr>
          <w:p w14:paraId="7D60F18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1ED2B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887588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3B5C11E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627A31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9A93AF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nil"/>
              <w:left w:val="nil"/>
              <w:bottom w:val="single" w:sz="4" w:space="0" w:color="auto"/>
              <w:right w:val="single" w:sz="4" w:space="0" w:color="auto"/>
            </w:tcBorders>
            <w:vAlign w:val="center"/>
            <w:hideMark/>
          </w:tcPr>
          <w:p w14:paraId="7C49099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0C6E07">
              <w:rPr>
                <w:rFonts w:eastAsia="Times New Roman" w:cs="Times New Roman"/>
                <w:color w:val="000000"/>
                <w:sz w:val="20"/>
                <w:szCs w:val="20"/>
                <w:lang w:val="ro-RO"/>
                <w14:ligatures w14:val="none"/>
              </w:rPr>
              <w:br/>
              <w:t>Regatul Suediei</w:t>
            </w:r>
          </w:p>
        </w:tc>
      </w:tr>
      <w:tr w:rsidR="005D7A87" w:rsidRPr="000C6E07" w14:paraId="2B4DAEF9" w14:textId="77777777" w:rsidTr="008A56FB">
        <w:trPr>
          <w:trHeight w:val="780"/>
        </w:trPr>
        <w:tc>
          <w:tcPr>
            <w:tcW w:w="568" w:type="dxa"/>
            <w:vMerge w:val="restart"/>
            <w:tcBorders>
              <w:top w:val="nil"/>
              <w:left w:val="single" w:sz="4" w:space="0" w:color="auto"/>
              <w:bottom w:val="single" w:sz="4" w:space="0" w:color="auto"/>
              <w:right w:val="single" w:sz="4" w:space="0" w:color="auto"/>
            </w:tcBorders>
            <w:hideMark/>
          </w:tcPr>
          <w:p w14:paraId="01695D1E" w14:textId="675C587C"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225F468"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Extinderea aplicării Conceptului de activitate polițienească comunitară</w:t>
            </w:r>
          </w:p>
        </w:tc>
        <w:tc>
          <w:tcPr>
            <w:tcW w:w="1843" w:type="dxa"/>
            <w:vMerge w:val="restart"/>
            <w:tcBorders>
              <w:top w:val="nil"/>
              <w:left w:val="nil"/>
              <w:right w:val="single" w:sz="4" w:space="0" w:color="auto"/>
            </w:tcBorders>
            <w:vAlign w:val="center"/>
          </w:tcPr>
          <w:p w14:paraId="451E0F93" w14:textId="30EB73BC"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Concept de activitate polițienească comunitară implementat în toate sectoarele de poliție</w:t>
            </w:r>
          </w:p>
        </w:tc>
        <w:tc>
          <w:tcPr>
            <w:tcW w:w="1026" w:type="dxa"/>
            <w:vMerge w:val="restart"/>
            <w:tcBorders>
              <w:top w:val="nil"/>
              <w:left w:val="nil"/>
              <w:right w:val="single" w:sz="4" w:space="0" w:color="auto"/>
            </w:tcBorders>
            <w:vAlign w:val="center"/>
          </w:tcPr>
          <w:p w14:paraId="2D485EE2" w14:textId="72AE8427"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2.812,5</w:t>
            </w:r>
          </w:p>
        </w:tc>
        <w:tc>
          <w:tcPr>
            <w:tcW w:w="1100" w:type="dxa"/>
            <w:vMerge w:val="restart"/>
            <w:tcBorders>
              <w:top w:val="nil"/>
              <w:left w:val="nil"/>
              <w:right w:val="single" w:sz="4" w:space="0" w:color="auto"/>
            </w:tcBorders>
            <w:vAlign w:val="center"/>
          </w:tcPr>
          <w:p w14:paraId="4C6CCDD5" w14:textId="1D00E637"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 </w:t>
            </w:r>
          </w:p>
        </w:tc>
        <w:tc>
          <w:tcPr>
            <w:tcW w:w="1015" w:type="dxa"/>
            <w:vMerge w:val="restart"/>
            <w:tcBorders>
              <w:top w:val="nil"/>
              <w:left w:val="nil"/>
              <w:right w:val="single" w:sz="4" w:space="0" w:color="auto"/>
            </w:tcBorders>
            <w:vAlign w:val="center"/>
          </w:tcPr>
          <w:p w14:paraId="05213408" w14:textId="59B6669A"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2.812,5</w:t>
            </w:r>
          </w:p>
        </w:tc>
        <w:tc>
          <w:tcPr>
            <w:tcW w:w="922" w:type="dxa"/>
            <w:vMerge w:val="restart"/>
            <w:tcBorders>
              <w:top w:val="nil"/>
              <w:left w:val="nil"/>
              <w:right w:val="single" w:sz="4" w:space="0" w:color="auto"/>
            </w:tcBorders>
            <w:vAlign w:val="center"/>
          </w:tcPr>
          <w:p w14:paraId="65D5CD9A" w14:textId="64169CCA"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nil"/>
              <w:right w:val="single" w:sz="4" w:space="0" w:color="auto"/>
            </w:tcBorders>
            <w:vAlign w:val="center"/>
          </w:tcPr>
          <w:p w14:paraId="563D7DB6" w14:textId="4E391CC3"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0000"/>
                <w:sz w:val="20"/>
                <w:szCs w:val="20"/>
                <w:lang w:val="ro-RO"/>
                <w14:ligatures w14:val="none"/>
              </w:rPr>
              <w:t>Regatul Suediei</w:t>
            </w:r>
          </w:p>
        </w:tc>
        <w:tc>
          <w:tcPr>
            <w:tcW w:w="1000" w:type="dxa"/>
            <w:vMerge w:val="restart"/>
            <w:tcBorders>
              <w:top w:val="nil"/>
              <w:left w:val="nil"/>
              <w:right w:val="single" w:sz="4" w:space="0" w:color="auto"/>
            </w:tcBorders>
            <w:vAlign w:val="center"/>
          </w:tcPr>
          <w:p w14:paraId="100C971F" w14:textId="3170B1AF"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vMerge w:val="restart"/>
            <w:tcBorders>
              <w:top w:val="nil"/>
              <w:left w:val="nil"/>
              <w:right w:val="single" w:sz="4" w:space="0" w:color="auto"/>
            </w:tcBorders>
            <w:vAlign w:val="center"/>
          </w:tcPr>
          <w:p w14:paraId="4E0E383C" w14:textId="4AE253B4"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vMerge w:val="restart"/>
            <w:tcBorders>
              <w:top w:val="nil"/>
              <w:left w:val="nil"/>
              <w:right w:val="single" w:sz="4" w:space="0" w:color="auto"/>
            </w:tcBorders>
            <w:vAlign w:val="center"/>
          </w:tcPr>
          <w:p w14:paraId="12902393" w14:textId="4963B530"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vMerge w:val="restart"/>
            <w:tcBorders>
              <w:top w:val="nil"/>
              <w:left w:val="nil"/>
              <w:right w:val="single" w:sz="4" w:space="0" w:color="auto"/>
            </w:tcBorders>
            <w:vAlign w:val="center"/>
          </w:tcPr>
          <w:p w14:paraId="3EB186B5" w14:textId="5E60C43B"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00" w:type="dxa"/>
            <w:vMerge w:val="restart"/>
            <w:tcBorders>
              <w:top w:val="nil"/>
              <w:left w:val="nil"/>
              <w:right w:val="single" w:sz="4" w:space="0" w:color="auto"/>
            </w:tcBorders>
            <w:vAlign w:val="center"/>
          </w:tcPr>
          <w:p w14:paraId="3B89B275" w14:textId="5D7667EE"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r w:rsidRPr="000C6E07">
              <w:rPr>
                <w:rFonts w:eastAsia="Times New Roman" w:cs="Times New Roman"/>
                <w:color w:val="0070C0"/>
                <w:sz w:val="20"/>
                <w:szCs w:val="20"/>
                <w:lang w:val="ro-RO"/>
                <w14:ligatures w14:val="none"/>
              </w:rPr>
              <w:t>562,5</w:t>
            </w:r>
          </w:p>
        </w:tc>
        <w:tc>
          <w:tcPr>
            <w:tcW w:w="1082" w:type="dxa"/>
            <w:tcBorders>
              <w:top w:val="nil"/>
              <w:left w:val="nil"/>
              <w:bottom w:val="single" w:sz="4" w:space="0" w:color="auto"/>
              <w:right w:val="single" w:sz="4" w:space="0" w:color="auto"/>
            </w:tcBorders>
            <w:vAlign w:val="center"/>
          </w:tcPr>
          <w:p w14:paraId="2C901124" w14:textId="38BAC666" w:rsidR="005D7A87" w:rsidRPr="00E269A6" w:rsidRDefault="005D7A87" w:rsidP="005D7A87">
            <w:pPr>
              <w:spacing w:after="0"/>
              <w:jc w:val="center"/>
              <w:rPr>
                <w:rFonts w:eastAsia="Times New Roman" w:cs="Times New Roman"/>
                <w:strike/>
                <w:color w:val="000000"/>
                <w:sz w:val="20"/>
                <w:szCs w:val="20"/>
                <w:highlight w:val="yellow"/>
                <w:lang w:val="ro-RO"/>
                <w14:ligatures w14:val="none"/>
              </w:rPr>
            </w:pPr>
          </w:p>
        </w:tc>
        <w:tc>
          <w:tcPr>
            <w:tcW w:w="1162" w:type="dxa"/>
            <w:vMerge w:val="restart"/>
            <w:tcBorders>
              <w:top w:val="nil"/>
              <w:left w:val="single" w:sz="4" w:space="0" w:color="auto"/>
              <w:bottom w:val="single" w:sz="4" w:space="0" w:color="000000"/>
              <w:right w:val="single" w:sz="4" w:space="0" w:color="auto"/>
            </w:tcBorders>
            <w:vAlign w:val="center"/>
            <w:hideMark/>
          </w:tcPr>
          <w:p w14:paraId="2DEE555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r w:rsidRPr="000C6E07">
              <w:rPr>
                <w:rFonts w:eastAsia="Times New Roman" w:cs="Times New Roman"/>
                <w:color w:val="000000"/>
                <w:sz w:val="20"/>
                <w:szCs w:val="20"/>
                <w:lang w:val="ro-RO"/>
                <w14:ligatures w14:val="none"/>
              </w:rPr>
              <w:br/>
              <w:t>Regatul Suediei</w:t>
            </w:r>
          </w:p>
        </w:tc>
      </w:tr>
      <w:tr w:rsidR="005D7A87" w:rsidRPr="000C6E07" w14:paraId="71BB6DB5" w14:textId="77777777" w:rsidTr="008A56FB">
        <w:trPr>
          <w:trHeight w:val="1040"/>
        </w:trPr>
        <w:tc>
          <w:tcPr>
            <w:tcW w:w="568" w:type="dxa"/>
            <w:vMerge/>
            <w:tcBorders>
              <w:top w:val="nil"/>
              <w:left w:val="single" w:sz="4" w:space="0" w:color="auto"/>
              <w:bottom w:val="single" w:sz="4" w:space="0" w:color="auto"/>
              <w:right w:val="single" w:sz="4" w:space="0" w:color="auto"/>
            </w:tcBorders>
            <w:hideMark/>
          </w:tcPr>
          <w:p w14:paraId="5E3E464B"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61BA229"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hideMark/>
          </w:tcPr>
          <w:p w14:paraId="3D28BC7C" w14:textId="7431ADF5"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26" w:type="dxa"/>
            <w:vMerge/>
            <w:tcBorders>
              <w:left w:val="nil"/>
              <w:bottom w:val="single" w:sz="4" w:space="0" w:color="auto"/>
              <w:right w:val="single" w:sz="4" w:space="0" w:color="auto"/>
            </w:tcBorders>
            <w:vAlign w:val="center"/>
            <w:hideMark/>
          </w:tcPr>
          <w:p w14:paraId="5ED3C6B9" w14:textId="0560EE9C" w:rsidR="005D7A87" w:rsidRPr="000C6E07" w:rsidRDefault="005D7A87" w:rsidP="005D7A87">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hideMark/>
          </w:tcPr>
          <w:p w14:paraId="7D7B93B3" w14:textId="13396C6A"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15" w:type="dxa"/>
            <w:vMerge/>
            <w:tcBorders>
              <w:left w:val="nil"/>
              <w:bottom w:val="single" w:sz="4" w:space="0" w:color="auto"/>
              <w:right w:val="single" w:sz="4" w:space="0" w:color="auto"/>
            </w:tcBorders>
            <w:vAlign w:val="center"/>
            <w:hideMark/>
          </w:tcPr>
          <w:p w14:paraId="08DE3AD5" w14:textId="101D93A9" w:rsidR="005D7A87" w:rsidRPr="000C6E07" w:rsidRDefault="005D7A87" w:rsidP="005D7A87">
            <w:pPr>
              <w:spacing w:after="0"/>
              <w:jc w:val="center"/>
              <w:rPr>
                <w:rFonts w:eastAsia="Times New Roman" w:cs="Times New Roman"/>
                <w:color w:val="0070C0"/>
                <w:sz w:val="20"/>
                <w:szCs w:val="20"/>
                <w:lang w:val="ro-RO"/>
                <w14:ligatures w14:val="none"/>
              </w:rPr>
            </w:pPr>
          </w:p>
        </w:tc>
        <w:tc>
          <w:tcPr>
            <w:tcW w:w="922" w:type="dxa"/>
            <w:vMerge/>
            <w:tcBorders>
              <w:left w:val="nil"/>
              <w:bottom w:val="single" w:sz="4" w:space="0" w:color="auto"/>
              <w:right w:val="single" w:sz="4" w:space="0" w:color="auto"/>
            </w:tcBorders>
            <w:vAlign w:val="center"/>
            <w:hideMark/>
          </w:tcPr>
          <w:p w14:paraId="5083BA25" w14:textId="38A31984"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182" w:type="dxa"/>
            <w:vMerge/>
            <w:tcBorders>
              <w:left w:val="nil"/>
              <w:bottom w:val="single" w:sz="4" w:space="0" w:color="auto"/>
              <w:right w:val="single" w:sz="4" w:space="0" w:color="auto"/>
            </w:tcBorders>
            <w:vAlign w:val="center"/>
            <w:hideMark/>
          </w:tcPr>
          <w:p w14:paraId="68890331" w14:textId="55B9A699"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hideMark/>
          </w:tcPr>
          <w:p w14:paraId="6B4C6243" w14:textId="413F38BE" w:rsidR="005D7A87" w:rsidRPr="000C6E07" w:rsidRDefault="005D7A87" w:rsidP="005D7A87">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hideMark/>
          </w:tcPr>
          <w:p w14:paraId="6C62A105" w14:textId="5530C42A" w:rsidR="005D7A87" w:rsidRPr="000C6E07" w:rsidRDefault="005D7A87" w:rsidP="005D7A87">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hideMark/>
          </w:tcPr>
          <w:p w14:paraId="1EC82040" w14:textId="5F07CD81" w:rsidR="005D7A87" w:rsidRPr="000C6E07" w:rsidRDefault="005D7A87" w:rsidP="005D7A87">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hideMark/>
          </w:tcPr>
          <w:p w14:paraId="7E89EC39" w14:textId="7597DF5C" w:rsidR="005D7A87" w:rsidRPr="000C6E07" w:rsidRDefault="005D7A87" w:rsidP="005D7A87">
            <w:pPr>
              <w:spacing w:after="0"/>
              <w:jc w:val="center"/>
              <w:rPr>
                <w:rFonts w:eastAsia="Times New Roman" w:cs="Times New Roman"/>
                <w:color w:val="0070C0"/>
                <w:sz w:val="20"/>
                <w:szCs w:val="20"/>
                <w:lang w:val="ro-RO"/>
                <w14:ligatures w14:val="none"/>
              </w:rPr>
            </w:pPr>
          </w:p>
        </w:tc>
        <w:tc>
          <w:tcPr>
            <w:tcW w:w="1000" w:type="dxa"/>
            <w:vMerge/>
            <w:tcBorders>
              <w:left w:val="nil"/>
              <w:bottom w:val="single" w:sz="4" w:space="0" w:color="auto"/>
              <w:right w:val="single" w:sz="4" w:space="0" w:color="auto"/>
            </w:tcBorders>
            <w:vAlign w:val="center"/>
            <w:hideMark/>
          </w:tcPr>
          <w:p w14:paraId="0C3830A9" w14:textId="76134CCE" w:rsidR="005D7A87" w:rsidRPr="000C6E07" w:rsidRDefault="005D7A87" w:rsidP="005D7A87">
            <w:pPr>
              <w:spacing w:after="0"/>
              <w:jc w:val="center"/>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62AF70E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7F8A2507"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507872BE"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3E6CB5CF"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B87A62E"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DFF26B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Campanii de comunicare pentru promovarea Conceptului activității polițienești comunitare organizate anual</w:t>
            </w:r>
          </w:p>
        </w:tc>
        <w:tc>
          <w:tcPr>
            <w:tcW w:w="1026" w:type="dxa"/>
            <w:tcBorders>
              <w:top w:val="nil"/>
              <w:left w:val="nil"/>
              <w:bottom w:val="single" w:sz="4" w:space="0" w:color="auto"/>
              <w:right w:val="single" w:sz="4" w:space="0" w:color="auto"/>
            </w:tcBorders>
            <w:vAlign w:val="center"/>
            <w:hideMark/>
          </w:tcPr>
          <w:p w14:paraId="507C81C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100" w:type="dxa"/>
            <w:vMerge w:val="restart"/>
            <w:tcBorders>
              <w:top w:val="nil"/>
              <w:left w:val="single" w:sz="4" w:space="0" w:color="auto"/>
              <w:bottom w:val="single" w:sz="4" w:space="0" w:color="auto"/>
              <w:right w:val="single" w:sz="4" w:space="0" w:color="auto"/>
            </w:tcBorders>
            <w:vAlign w:val="center"/>
            <w:hideMark/>
          </w:tcPr>
          <w:p w14:paraId="538ADC6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136F91F"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922" w:type="dxa"/>
            <w:vMerge w:val="restart"/>
            <w:tcBorders>
              <w:top w:val="nil"/>
              <w:left w:val="single" w:sz="4" w:space="0" w:color="auto"/>
              <w:bottom w:val="single" w:sz="4" w:space="0" w:color="auto"/>
              <w:right w:val="single" w:sz="4" w:space="0" w:color="auto"/>
            </w:tcBorders>
            <w:vAlign w:val="center"/>
            <w:hideMark/>
          </w:tcPr>
          <w:p w14:paraId="04FFE49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67F155E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Regatul Suediei</w:t>
            </w:r>
          </w:p>
        </w:tc>
        <w:tc>
          <w:tcPr>
            <w:tcW w:w="1000" w:type="dxa"/>
            <w:vMerge w:val="restart"/>
            <w:tcBorders>
              <w:top w:val="nil"/>
              <w:left w:val="single" w:sz="4" w:space="0" w:color="auto"/>
              <w:bottom w:val="single" w:sz="4" w:space="0" w:color="auto"/>
              <w:right w:val="single" w:sz="4" w:space="0" w:color="auto"/>
            </w:tcBorders>
            <w:vAlign w:val="center"/>
            <w:hideMark/>
          </w:tcPr>
          <w:p w14:paraId="3078C7E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49A762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54B2E88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6E8FEF7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2E19ED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496669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58EB285E"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3E58640C"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37D6BFA3"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482972C"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0EE4D5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Sondajul cu privire la nivelul de implementare a principiilor APC</w:t>
            </w:r>
          </w:p>
        </w:tc>
        <w:tc>
          <w:tcPr>
            <w:tcW w:w="1026" w:type="dxa"/>
            <w:tcBorders>
              <w:top w:val="nil"/>
              <w:left w:val="nil"/>
              <w:bottom w:val="single" w:sz="4" w:space="0" w:color="auto"/>
              <w:right w:val="single" w:sz="4" w:space="0" w:color="auto"/>
            </w:tcBorders>
            <w:vAlign w:val="center"/>
            <w:hideMark/>
          </w:tcPr>
          <w:p w14:paraId="311A2B6C"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300,0</w:t>
            </w:r>
          </w:p>
        </w:tc>
        <w:tc>
          <w:tcPr>
            <w:tcW w:w="1100" w:type="dxa"/>
            <w:vMerge/>
            <w:tcBorders>
              <w:top w:val="nil"/>
              <w:left w:val="single" w:sz="4" w:space="0" w:color="auto"/>
              <w:bottom w:val="single" w:sz="4" w:space="0" w:color="auto"/>
              <w:right w:val="single" w:sz="4" w:space="0" w:color="auto"/>
            </w:tcBorders>
            <w:vAlign w:val="center"/>
            <w:hideMark/>
          </w:tcPr>
          <w:p w14:paraId="54008AC7" w14:textId="77777777" w:rsidR="005D7A87" w:rsidRPr="00E269A6" w:rsidRDefault="005D7A87" w:rsidP="005D7A87">
            <w:pPr>
              <w:spacing w:after="0"/>
              <w:rPr>
                <w:rFonts w:eastAsia="Times New Roman" w:cs="Times New Roman"/>
                <w:color w:val="0070C0"/>
                <w:sz w:val="20"/>
                <w:szCs w:val="20"/>
                <w:lang w:val="ro-RO"/>
                <w14:ligatures w14:val="none"/>
              </w:rPr>
            </w:pPr>
          </w:p>
        </w:tc>
        <w:tc>
          <w:tcPr>
            <w:tcW w:w="1015" w:type="dxa"/>
            <w:tcBorders>
              <w:top w:val="nil"/>
              <w:left w:val="nil"/>
              <w:bottom w:val="single" w:sz="4" w:space="0" w:color="auto"/>
              <w:right w:val="single" w:sz="4" w:space="0" w:color="auto"/>
            </w:tcBorders>
            <w:vAlign w:val="center"/>
            <w:hideMark/>
          </w:tcPr>
          <w:p w14:paraId="33D8C524"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300,0</w:t>
            </w:r>
          </w:p>
        </w:tc>
        <w:tc>
          <w:tcPr>
            <w:tcW w:w="922" w:type="dxa"/>
            <w:vMerge/>
            <w:tcBorders>
              <w:top w:val="nil"/>
              <w:left w:val="single" w:sz="4" w:space="0" w:color="auto"/>
              <w:bottom w:val="single" w:sz="4" w:space="0" w:color="auto"/>
              <w:right w:val="single" w:sz="4" w:space="0" w:color="auto"/>
            </w:tcBorders>
            <w:vAlign w:val="center"/>
            <w:hideMark/>
          </w:tcPr>
          <w:p w14:paraId="1E0FCF8B" w14:textId="77777777" w:rsidR="005D7A87" w:rsidRPr="00E269A6" w:rsidRDefault="005D7A87" w:rsidP="005D7A87">
            <w:pPr>
              <w:spacing w:after="0"/>
              <w:rPr>
                <w:rFonts w:eastAsia="Times New Roman" w:cs="Times New Roman"/>
                <w:color w:val="0070C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5F99DCB0" w14:textId="77777777" w:rsidR="005D7A87" w:rsidRPr="00E269A6" w:rsidRDefault="005D7A87" w:rsidP="005D7A87">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CB439EF" w14:textId="77777777" w:rsidR="005D7A87" w:rsidRPr="00E269A6" w:rsidRDefault="005D7A87" w:rsidP="005D7A87">
            <w:pPr>
              <w:spacing w:after="0"/>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191F522E"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A065B5"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6AB708"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55FC856C"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397601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tcBorders>
              <w:top w:val="nil"/>
              <w:left w:val="single" w:sz="4" w:space="0" w:color="auto"/>
              <w:bottom w:val="single" w:sz="4" w:space="0" w:color="000000"/>
              <w:right w:val="single" w:sz="4" w:space="0" w:color="auto"/>
            </w:tcBorders>
            <w:vAlign w:val="center"/>
            <w:hideMark/>
          </w:tcPr>
          <w:p w14:paraId="714D523A" w14:textId="77777777" w:rsidR="005D7A87" w:rsidRPr="000C6E07" w:rsidRDefault="005D7A87" w:rsidP="005D7A87">
            <w:pPr>
              <w:spacing w:after="0"/>
              <w:rPr>
                <w:rFonts w:eastAsia="Times New Roman" w:cs="Times New Roman"/>
                <w:color w:val="000000"/>
                <w:sz w:val="20"/>
                <w:szCs w:val="20"/>
                <w:lang w:val="ro-RO"/>
                <w14:ligatures w14:val="none"/>
              </w:rPr>
            </w:pPr>
          </w:p>
        </w:tc>
      </w:tr>
      <w:tr w:rsidR="005D7A87" w:rsidRPr="000C6E07" w14:paraId="4BB9316D"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6002E644" w14:textId="053D9562"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6A48AA99"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Implementarea conceptului centrelor mobile de prevenire, cu atribuții specifice sectorului de poliție </w:t>
            </w:r>
          </w:p>
        </w:tc>
        <w:tc>
          <w:tcPr>
            <w:tcW w:w="1843" w:type="dxa"/>
            <w:tcBorders>
              <w:top w:val="nil"/>
              <w:left w:val="nil"/>
              <w:bottom w:val="single" w:sz="4" w:space="0" w:color="auto"/>
              <w:right w:val="single" w:sz="4" w:space="0" w:color="auto"/>
            </w:tcBorders>
            <w:vAlign w:val="center"/>
            <w:hideMark/>
          </w:tcPr>
          <w:p w14:paraId="00C59F0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30 de centre mobile cu atribuții specifice sectorului de poliție achiziționate conform normativelor</w:t>
            </w:r>
          </w:p>
        </w:tc>
        <w:tc>
          <w:tcPr>
            <w:tcW w:w="1026" w:type="dxa"/>
            <w:tcBorders>
              <w:top w:val="nil"/>
              <w:left w:val="nil"/>
              <w:bottom w:val="single" w:sz="4" w:space="0" w:color="auto"/>
              <w:right w:val="single" w:sz="4" w:space="0" w:color="auto"/>
            </w:tcBorders>
            <w:vAlign w:val="center"/>
            <w:hideMark/>
          </w:tcPr>
          <w:p w14:paraId="3871A0A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50.400,0</w:t>
            </w:r>
          </w:p>
        </w:tc>
        <w:tc>
          <w:tcPr>
            <w:tcW w:w="1100" w:type="dxa"/>
            <w:tcBorders>
              <w:top w:val="nil"/>
              <w:left w:val="nil"/>
              <w:bottom w:val="single" w:sz="4" w:space="0" w:color="auto"/>
              <w:right w:val="single" w:sz="4" w:space="0" w:color="auto"/>
            </w:tcBorders>
            <w:vAlign w:val="center"/>
            <w:hideMark/>
          </w:tcPr>
          <w:p w14:paraId="7A2D4F2E"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3743909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50.400,0</w:t>
            </w:r>
          </w:p>
        </w:tc>
        <w:tc>
          <w:tcPr>
            <w:tcW w:w="922" w:type="dxa"/>
            <w:tcBorders>
              <w:top w:val="nil"/>
              <w:left w:val="nil"/>
              <w:bottom w:val="single" w:sz="4" w:space="0" w:color="auto"/>
              <w:right w:val="single" w:sz="4" w:space="0" w:color="auto"/>
            </w:tcBorders>
            <w:vAlign w:val="center"/>
            <w:hideMark/>
          </w:tcPr>
          <w:p w14:paraId="360E0A6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90A4FAA" w14:textId="2EF8B183" w:rsidR="005D7A87" w:rsidRPr="005D7A87" w:rsidRDefault="005D7A87" w:rsidP="005D7A87">
            <w:pPr>
              <w:spacing w:after="0"/>
              <w:jc w:val="center"/>
              <w:rPr>
                <w:rFonts w:eastAsia="Times New Roman" w:cs="Times New Roman"/>
                <w:color w:val="000000"/>
                <w:sz w:val="20"/>
                <w:szCs w:val="20"/>
                <w:lang w:val="ro-RO"/>
                <w14:ligatures w14:val="none"/>
              </w:rPr>
            </w:pPr>
            <w:bookmarkStart w:id="10" w:name="_Hlk203575933"/>
            <w:r w:rsidRPr="005D7A87">
              <w:rPr>
                <w:rFonts w:eastAsia="Times New Roman" w:cs="Times New Roman"/>
                <w:color w:val="000000"/>
                <w:sz w:val="20"/>
                <w:szCs w:val="20"/>
                <w:lang w:val="ro-RO"/>
                <w14:ligatures w14:val="none"/>
              </w:rPr>
              <w:t>PNUD</w:t>
            </w:r>
          </w:p>
          <w:p w14:paraId="505035D6" w14:textId="330F8EF1"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GS Foundation</w:t>
            </w:r>
          </w:p>
          <w:p w14:paraId="46CF9929" w14:textId="643DAB85"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Ministerul Federal German</w:t>
            </w:r>
          </w:p>
          <w:p w14:paraId="53B2EC2F" w14:textId="33543A1C" w:rsidR="005D7A87" w:rsidRPr="000C6E0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Ambasada SUA</w:t>
            </w:r>
            <w:bookmarkEnd w:id="10"/>
          </w:p>
        </w:tc>
        <w:tc>
          <w:tcPr>
            <w:tcW w:w="1000" w:type="dxa"/>
            <w:tcBorders>
              <w:top w:val="nil"/>
              <w:left w:val="nil"/>
              <w:bottom w:val="single" w:sz="4" w:space="0" w:color="auto"/>
              <w:right w:val="single" w:sz="4" w:space="0" w:color="auto"/>
            </w:tcBorders>
            <w:vAlign w:val="center"/>
            <w:hideMark/>
          </w:tcPr>
          <w:p w14:paraId="121BB93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25.200,0</w:t>
            </w:r>
          </w:p>
        </w:tc>
        <w:tc>
          <w:tcPr>
            <w:tcW w:w="1000" w:type="dxa"/>
            <w:tcBorders>
              <w:top w:val="nil"/>
              <w:left w:val="nil"/>
              <w:bottom w:val="single" w:sz="4" w:space="0" w:color="auto"/>
              <w:right w:val="single" w:sz="4" w:space="0" w:color="auto"/>
            </w:tcBorders>
            <w:vAlign w:val="center"/>
            <w:hideMark/>
          </w:tcPr>
          <w:p w14:paraId="4C9C58C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25.200,0</w:t>
            </w:r>
          </w:p>
        </w:tc>
        <w:tc>
          <w:tcPr>
            <w:tcW w:w="1000" w:type="dxa"/>
            <w:tcBorders>
              <w:top w:val="nil"/>
              <w:left w:val="nil"/>
              <w:bottom w:val="single" w:sz="4" w:space="0" w:color="auto"/>
              <w:right w:val="single" w:sz="4" w:space="0" w:color="auto"/>
            </w:tcBorders>
            <w:vAlign w:val="center"/>
            <w:hideMark/>
          </w:tcPr>
          <w:p w14:paraId="2506AB2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E1B1DF"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C71674A"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594735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nil"/>
              <w:left w:val="nil"/>
              <w:bottom w:val="single" w:sz="4" w:space="0" w:color="auto"/>
              <w:right w:val="single" w:sz="4" w:space="0" w:color="auto"/>
            </w:tcBorders>
            <w:vAlign w:val="center"/>
            <w:hideMark/>
          </w:tcPr>
          <w:p w14:paraId="3E33EC37" w14:textId="77777777"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p>
          <w:p w14:paraId="6B8536F6" w14:textId="06F6DC60" w:rsidR="005D7A87" w:rsidRPr="00DF6D2C" w:rsidRDefault="005D7A87" w:rsidP="005D7A87">
            <w:pPr>
              <w:spacing w:after="0"/>
              <w:jc w:val="center"/>
              <w:rPr>
                <w:rFonts w:eastAsia="Times New Roman" w:cs="Times New Roman"/>
                <w:color w:val="000000"/>
                <w:sz w:val="20"/>
                <w:szCs w:val="20"/>
                <w:lang w:val="ro-RO"/>
                <w14:ligatures w14:val="none"/>
              </w:rPr>
            </w:pPr>
            <w:r w:rsidRPr="00DF6D2C">
              <w:rPr>
                <w:rFonts w:eastAsia="Times New Roman" w:cs="Times New Roman"/>
                <w:color w:val="000000"/>
                <w:sz w:val="20"/>
                <w:szCs w:val="20"/>
                <w:lang w:val="ro-RO"/>
                <w14:ligatures w14:val="none"/>
              </w:rPr>
              <w:t>PNUD</w:t>
            </w:r>
            <w:r>
              <w:rPr>
                <w:rFonts w:eastAsia="Times New Roman" w:cs="Times New Roman"/>
                <w:color w:val="000000"/>
                <w:sz w:val="20"/>
                <w:szCs w:val="20"/>
                <w:lang w:val="ro-RO"/>
                <w14:ligatures w14:val="none"/>
              </w:rPr>
              <w:t>;</w:t>
            </w:r>
          </w:p>
          <w:p w14:paraId="709A6E3B" w14:textId="14BDB6FA" w:rsidR="005D7A87" w:rsidRPr="00DF6D2C" w:rsidRDefault="005D7A87" w:rsidP="005D7A87">
            <w:pPr>
              <w:spacing w:after="0"/>
              <w:jc w:val="center"/>
              <w:rPr>
                <w:rFonts w:eastAsia="Times New Roman" w:cs="Times New Roman"/>
                <w:color w:val="000000"/>
                <w:sz w:val="20"/>
                <w:szCs w:val="20"/>
                <w:lang w:val="ro-RO"/>
                <w14:ligatures w14:val="none"/>
              </w:rPr>
            </w:pPr>
            <w:r w:rsidRPr="00DF6D2C">
              <w:rPr>
                <w:rFonts w:eastAsia="Times New Roman" w:cs="Times New Roman"/>
                <w:color w:val="000000"/>
                <w:sz w:val="20"/>
                <w:szCs w:val="20"/>
                <w:lang w:val="ro-RO"/>
                <w14:ligatures w14:val="none"/>
              </w:rPr>
              <w:t>GS Foundatio</w:t>
            </w:r>
            <w:r>
              <w:rPr>
                <w:rFonts w:eastAsia="Times New Roman" w:cs="Times New Roman"/>
                <w:color w:val="000000"/>
                <w:sz w:val="20"/>
                <w:szCs w:val="20"/>
                <w:lang w:val="ro-RO"/>
                <w14:ligatures w14:val="none"/>
              </w:rPr>
              <w:t>n;</w:t>
            </w:r>
          </w:p>
          <w:p w14:paraId="6F83B8CE" w14:textId="4D214992" w:rsidR="005D7A87" w:rsidRPr="00DF6D2C" w:rsidRDefault="005D7A87" w:rsidP="005D7A87">
            <w:pPr>
              <w:spacing w:after="0"/>
              <w:jc w:val="center"/>
              <w:rPr>
                <w:rFonts w:eastAsia="Times New Roman" w:cs="Times New Roman"/>
                <w:color w:val="000000"/>
                <w:sz w:val="20"/>
                <w:szCs w:val="20"/>
                <w:lang w:val="ro-RO"/>
                <w14:ligatures w14:val="none"/>
              </w:rPr>
            </w:pPr>
            <w:r w:rsidRPr="00DF6D2C">
              <w:rPr>
                <w:rFonts w:eastAsia="Times New Roman" w:cs="Times New Roman"/>
                <w:color w:val="000000"/>
                <w:sz w:val="20"/>
                <w:szCs w:val="20"/>
                <w:lang w:val="ro-RO"/>
                <w14:ligatures w14:val="none"/>
              </w:rPr>
              <w:t>Ministerul Federal German</w:t>
            </w:r>
            <w:r>
              <w:rPr>
                <w:rFonts w:eastAsia="Times New Roman" w:cs="Times New Roman"/>
                <w:color w:val="000000"/>
                <w:sz w:val="20"/>
                <w:szCs w:val="20"/>
                <w:lang w:val="ro-RO"/>
                <w14:ligatures w14:val="none"/>
              </w:rPr>
              <w:t>;</w:t>
            </w:r>
          </w:p>
          <w:p w14:paraId="3B19114B" w14:textId="74B624C5" w:rsidR="005D7A87" w:rsidRPr="000C6E07" w:rsidRDefault="005D7A87" w:rsidP="005D7A87">
            <w:pPr>
              <w:spacing w:after="0"/>
              <w:jc w:val="center"/>
              <w:rPr>
                <w:rFonts w:eastAsia="Times New Roman" w:cs="Times New Roman"/>
                <w:color w:val="000000"/>
                <w:sz w:val="20"/>
                <w:szCs w:val="20"/>
                <w:lang w:val="ro-RO"/>
                <w14:ligatures w14:val="none"/>
              </w:rPr>
            </w:pPr>
            <w:r w:rsidRPr="00DF6D2C">
              <w:rPr>
                <w:rFonts w:eastAsia="Times New Roman" w:cs="Times New Roman"/>
                <w:color w:val="000000"/>
                <w:sz w:val="20"/>
                <w:szCs w:val="20"/>
                <w:lang w:val="ro-RO"/>
                <w14:ligatures w14:val="none"/>
              </w:rPr>
              <w:t>Ambasada SUA</w:t>
            </w:r>
          </w:p>
        </w:tc>
      </w:tr>
      <w:tr w:rsidR="005D7A87" w:rsidRPr="000C6E07" w14:paraId="71F48866" w14:textId="77777777" w:rsidTr="004356CF">
        <w:trPr>
          <w:trHeight w:val="2600"/>
        </w:trPr>
        <w:tc>
          <w:tcPr>
            <w:tcW w:w="568" w:type="dxa"/>
            <w:vMerge/>
            <w:tcBorders>
              <w:top w:val="nil"/>
              <w:left w:val="single" w:sz="4" w:space="0" w:color="auto"/>
              <w:bottom w:val="single" w:sz="4" w:space="0" w:color="auto"/>
              <w:right w:val="single" w:sz="4" w:space="0" w:color="auto"/>
            </w:tcBorders>
            <w:hideMark/>
          </w:tcPr>
          <w:p w14:paraId="1AAA11DE"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7C4160"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EE4BD8A" w14:textId="13F962B5"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de evaluare</w:t>
            </w:r>
            <w:r w:rsidRPr="0058254F">
              <w:rPr>
                <w:rFonts w:eastAsia="Times New Roman" w:cs="Times New Roman"/>
                <w:color w:val="000000"/>
                <w:sz w:val="20"/>
                <w:szCs w:val="20"/>
                <w:lang w:val="ro-RO"/>
                <w14:ligatures w14:val="none"/>
              </w:rPr>
              <w:t xml:space="preserve"> a funcționalității centrelor și acoperirii necesităților instituționale privind accesibilitatea serviciilor pentru cetățeni</w:t>
            </w:r>
            <w:r>
              <w:rPr>
                <w:rFonts w:eastAsia="Times New Roman" w:cs="Times New Roman"/>
                <w:color w:val="000000"/>
                <w:sz w:val="20"/>
                <w:szCs w:val="20"/>
                <w:lang w:val="ro-RO"/>
                <w14:ligatures w14:val="none"/>
              </w:rPr>
              <w:t>,</w:t>
            </w:r>
            <w:r w:rsidRPr="000C6E07">
              <w:rPr>
                <w:rFonts w:eastAsia="Times New Roman" w:cs="Times New Roman"/>
                <w:color w:val="000000"/>
                <w:sz w:val="20"/>
                <w:szCs w:val="20"/>
                <w:lang w:val="ro-RO"/>
                <w14:ligatures w14:val="none"/>
              </w:rPr>
              <w:t xml:space="preserve"> aprobat</w:t>
            </w:r>
          </w:p>
        </w:tc>
        <w:tc>
          <w:tcPr>
            <w:tcW w:w="1026" w:type="dxa"/>
            <w:tcBorders>
              <w:top w:val="nil"/>
              <w:left w:val="nil"/>
              <w:bottom w:val="single" w:sz="4" w:space="0" w:color="auto"/>
              <w:right w:val="single" w:sz="4" w:space="0" w:color="auto"/>
            </w:tcBorders>
            <w:vAlign w:val="center"/>
            <w:hideMark/>
          </w:tcPr>
          <w:p w14:paraId="284843C8" w14:textId="2830DDBA"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66,8</w:t>
            </w:r>
          </w:p>
        </w:tc>
        <w:tc>
          <w:tcPr>
            <w:tcW w:w="1100" w:type="dxa"/>
            <w:tcBorders>
              <w:top w:val="nil"/>
              <w:left w:val="nil"/>
              <w:bottom w:val="single" w:sz="4" w:space="0" w:color="auto"/>
              <w:right w:val="single" w:sz="4" w:space="0" w:color="auto"/>
            </w:tcBorders>
            <w:vAlign w:val="center"/>
            <w:hideMark/>
          </w:tcPr>
          <w:p w14:paraId="775D11D1" w14:textId="04B13830"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66,8</w:t>
            </w:r>
          </w:p>
        </w:tc>
        <w:tc>
          <w:tcPr>
            <w:tcW w:w="1015" w:type="dxa"/>
            <w:tcBorders>
              <w:top w:val="nil"/>
              <w:left w:val="nil"/>
              <w:bottom w:val="single" w:sz="4" w:space="0" w:color="auto"/>
              <w:right w:val="single" w:sz="4" w:space="0" w:color="auto"/>
            </w:tcBorders>
            <w:vAlign w:val="center"/>
            <w:hideMark/>
          </w:tcPr>
          <w:p w14:paraId="488167A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7732F4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D5033AF" w14:textId="77777777"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p w14:paraId="08EA02C0" w14:textId="079DD5C6"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90</w:t>
            </w:r>
          </w:p>
        </w:tc>
        <w:tc>
          <w:tcPr>
            <w:tcW w:w="1000" w:type="dxa"/>
            <w:tcBorders>
              <w:top w:val="nil"/>
              <w:left w:val="nil"/>
              <w:bottom w:val="single" w:sz="4" w:space="0" w:color="auto"/>
              <w:right w:val="single" w:sz="4" w:space="0" w:color="auto"/>
            </w:tcBorders>
            <w:vAlign w:val="center"/>
            <w:hideMark/>
          </w:tcPr>
          <w:p w14:paraId="1478439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4C4AD8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842C39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455D7EF" w14:textId="33B023D1"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66,8</w:t>
            </w:r>
          </w:p>
        </w:tc>
        <w:tc>
          <w:tcPr>
            <w:tcW w:w="1000" w:type="dxa"/>
            <w:tcBorders>
              <w:top w:val="nil"/>
              <w:left w:val="nil"/>
              <w:bottom w:val="single" w:sz="4" w:space="0" w:color="auto"/>
              <w:right w:val="single" w:sz="4" w:space="0" w:color="auto"/>
            </w:tcBorders>
            <w:vAlign w:val="center"/>
            <w:hideMark/>
          </w:tcPr>
          <w:p w14:paraId="4C49DD7D" w14:textId="77777777" w:rsidR="005D7A87" w:rsidRPr="00E269A6" w:rsidRDefault="005D7A87" w:rsidP="005D7A87">
            <w:pPr>
              <w:spacing w:after="0"/>
              <w:jc w:val="center"/>
              <w:rPr>
                <w:rFonts w:eastAsia="Times New Roman" w:cs="Times New Roman"/>
                <w:color w:val="0070C0"/>
                <w:sz w:val="20"/>
                <w:szCs w:val="20"/>
                <w:lang w:val="ro-RO"/>
                <w14:ligatures w14:val="none"/>
              </w:rPr>
            </w:pPr>
            <w:r w:rsidRPr="00E269A6">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8C2F34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2029</w:t>
            </w:r>
          </w:p>
        </w:tc>
        <w:tc>
          <w:tcPr>
            <w:tcW w:w="1162" w:type="dxa"/>
            <w:tcBorders>
              <w:top w:val="nil"/>
              <w:left w:val="nil"/>
              <w:bottom w:val="single" w:sz="4" w:space="0" w:color="auto"/>
              <w:right w:val="single" w:sz="4" w:space="0" w:color="auto"/>
            </w:tcBorders>
            <w:vAlign w:val="center"/>
            <w:hideMark/>
          </w:tcPr>
          <w:p w14:paraId="79FCCA9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Ministerul Muncii și Protecției Sociale; autoritățile administrației publice locale</w:t>
            </w:r>
          </w:p>
        </w:tc>
      </w:tr>
      <w:tr w:rsidR="005D7A87" w:rsidRPr="000C6E07" w14:paraId="09E62D04"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4D219BFA" w14:textId="5BE59285"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D69A774"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Protecția victimei prin obținerea ordonanței de protecție prin </w:t>
            </w:r>
            <w:r w:rsidRPr="000C6E07">
              <w:rPr>
                <w:rFonts w:eastAsia="Times New Roman" w:cs="Times New Roman"/>
                <w:color w:val="000000"/>
                <w:sz w:val="20"/>
                <w:szCs w:val="20"/>
                <w:lang w:val="ro-RO"/>
                <w14:ligatures w14:val="none"/>
              </w:rPr>
              <w:lastRenderedPageBreak/>
              <w:t>conferință video</w:t>
            </w:r>
          </w:p>
        </w:tc>
        <w:tc>
          <w:tcPr>
            <w:tcW w:w="1843" w:type="dxa"/>
            <w:tcBorders>
              <w:top w:val="nil"/>
              <w:left w:val="nil"/>
              <w:bottom w:val="single" w:sz="4" w:space="0" w:color="auto"/>
              <w:right w:val="single" w:sz="4" w:space="0" w:color="auto"/>
            </w:tcBorders>
            <w:vAlign w:val="center"/>
            <w:hideMark/>
          </w:tcPr>
          <w:p w14:paraId="7949DA9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 xml:space="preserve">Analiza necesităților pentru extinderea practicii de obținere a ordonanței de </w:t>
            </w:r>
            <w:r w:rsidRPr="000C6E07">
              <w:rPr>
                <w:rFonts w:eastAsia="Times New Roman" w:cs="Times New Roman"/>
                <w:color w:val="000000"/>
                <w:sz w:val="20"/>
                <w:szCs w:val="20"/>
                <w:lang w:val="ro-RO"/>
                <w14:ligatures w14:val="none"/>
              </w:rPr>
              <w:lastRenderedPageBreak/>
              <w:t>protecție prin conferință video</w:t>
            </w:r>
          </w:p>
        </w:tc>
        <w:tc>
          <w:tcPr>
            <w:tcW w:w="1026" w:type="dxa"/>
            <w:tcBorders>
              <w:top w:val="nil"/>
              <w:left w:val="nil"/>
              <w:bottom w:val="single" w:sz="4" w:space="0" w:color="auto"/>
              <w:right w:val="single" w:sz="4" w:space="0" w:color="auto"/>
            </w:tcBorders>
            <w:vAlign w:val="center"/>
            <w:hideMark/>
          </w:tcPr>
          <w:p w14:paraId="2154B23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120,0</w:t>
            </w:r>
          </w:p>
        </w:tc>
        <w:tc>
          <w:tcPr>
            <w:tcW w:w="1100" w:type="dxa"/>
            <w:tcBorders>
              <w:top w:val="nil"/>
              <w:left w:val="nil"/>
              <w:bottom w:val="single" w:sz="4" w:space="0" w:color="auto"/>
              <w:right w:val="single" w:sz="4" w:space="0" w:color="auto"/>
            </w:tcBorders>
            <w:vAlign w:val="center"/>
            <w:hideMark/>
          </w:tcPr>
          <w:p w14:paraId="4944F71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5C704EA"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w:t>
            </w:r>
          </w:p>
        </w:tc>
        <w:tc>
          <w:tcPr>
            <w:tcW w:w="922" w:type="dxa"/>
            <w:tcBorders>
              <w:top w:val="nil"/>
              <w:left w:val="nil"/>
              <w:bottom w:val="single" w:sz="4" w:space="0" w:color="auto"/>
              <w:right w:val="single" w:sz="4" w:space="0" w:color="auto"/>
            </w:tcBorders>
            <w:vAlign w:val="center"/>
            <w:hideMark/>
          </w:tcPr>
          <w:p w14:paraId="6F14789F" w14:textId="557C37AC"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120,0</w:t>
            </w: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F645016" w14:textId="79965E86"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40</w:t>
            </w:r>
          </w:p>
        </w:tc>
        <w:tc>
          <w:tcPr>
            <w:tcW w:w="1000" w:type="dxa"/>
            <w:tcBorders>
              <w:top w:val="nil"/>
              <w:left w:val="nil"/>
              <w:bottom w:val="single" w:sz="4" w:space="0" w:color="auto"/>
              <w:right w:val="single" w:sz="4" w:space="0" w:color="auto"/>
            </w:tcBorders>
            <w:vAlign w:val="center"/>
            <w:hideMark/>
          </w:tcPr>
          <w:p w14:paraId="4661649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w:t>
            </w:r>
          </w:p>
        </w:tc>
        <w:tc>
          <w:tcPr>
            <w:tcW w:w="1000" w:type="dxa"/>
            <w:tcBorders>
              <w:top w:val="nil"/>
              <w:left w:val="nil"/>
              <w:bottom w:val="single" w:sz="4" w:space="0" w:color="auto"/>
              <w:right w:val="single" w:sz="4" w:space="0" w:color="auto"/>
            </w:tcBorders>
            <w:vAlign w:val="center"/>
            <w:hideMark/>
          </w:tcPr>
          <w:p w14:paraId="215CAD6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760DC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AFA992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AD33B1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490042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76C2FAF8" w14:textId="67F88992" w:rsidR="005D7A87" w:rsidRPr="00832FB2" w:rsidRDefault="005D7A87" w:rsidP="005D7A87">
            <w:pPr>
              <w:spacing w:after="0"/>
              <w:jc w:val="center"/>
              <w:rPr>
                <w:rFonts w:eastAsia="Times New Roman" w:cs="Times New Roman"/>
                <w:color w:val="000000"/>
                <w:sz w:val="20"/>
                <w:szCs w:val="20"/>
                <w:lang w:val="ro-RO"/>
                <w14:ligatures w14:val="none"/>
              </w:rPr>
            </w:pPr>
            <w:r w:rsidRPr="00832FB2">
              <w:rPr>
                <w:rFonts w:eastAsia="Times New Roman" w:cs="Times New Roman"/>
                <w:color w:val="000000"/>
                <w:sz w:val="20"/>
                <w:szCs w:val="20"/>
                <w:lang w:val="ro-RO"/>
                <w14:ligatures w14:val="none"/>
              </w:rPr>
              <w:t>Ministerul Justiției;</w:t>
            </w:r>
          </w:p>
          <w:p w14:paraId="73FB472B" w14:textId="79B59299" w:rsidR="005D7A87" w:rsidRPr="000C6E07" w:rsidRDefault="005D7A87" w:rsidP="005D7A87">
            <w:pPr>
              <w:spacing w:after="0"/>
              <w:jc w:val="center"/>
              <w:rPr>
                <w:rFonts w:eastAsia="Times New Roman" w:cs="Times New Roman"/>
                <w:color w:val="000000"/>
                <w:sz w:val="20"/>
                <w:szCs w:val="20"/>
                <w:lang w:val="ro-RO"/>
                <w14:ligatures w14:val="none"/>
              </w:rPr>
            </w:pPr>
            <w:r w:rsidRPr="00832FB2">
              <w:rPr>
                <w:rFonts w:eastAsia="Times New Roman" w:cs="Times New Roman"/>
                <w:color w:val="000000"/>
                <w:sz w:val="20"/>
                <w:szCs w:val="20"/>
                <w:lang w:val="ro-RO"/>
                <w14:ligatures w14:val="none"/>
              </w:rPr>
              <w:t>Ministerul Afacerilor Interne</w:t>
            </w:r>
          </w:p>
        </w:tc>
      </w:tr>
      <w:tr w:rsidR="005D7A87" w:rsidRPr="000C6E07" w14:paraId="55560BCF" w14:textId="77777777" w:rsidTr="004356CF">
        <w:trPr>
          <w:trHeight w:val="1560"/>
        </w:trPr>
        <w:tc>
          <w:tcPr>
            <w:tcW w:w="568" w:type="dxa"/>
            <w:vMerge/>
            <w:tcBorders>
              <w:top w:val="nil"/>
              <w:left w:val="single" w:sz="4" w:space="0" w:color="auto"/>
              <w:bottom w:val="single" w:sz="4" w:space="0" w:color="auto"/>
              <w:right w:val="single" w:sz="4" w:space="0" w:color="auto"/>
            </w:tcBorders>
            <w:hideMark/>
          </w:tcPr>
          <w:p w14:paraId="5E59B79C"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2E5CE9D"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53428F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Minimum 30% din ordonanțe de protecție obținute prin video conferință, ca urmare a modificării cadrului normativ</w:t>
            </w:r>
          </w:p>
        </w:tc>
        <w:tc>
          <w:tcPr>
            <w:tcW w:w="1026" w:type="dxa"/>
            <w:tcBorders>
              <w:top w:val="nil"/>
              <w:left w:val="nil"/>
              <w:bottom w:val="single" w:sz="4" w:space="0" w:color="auto"/>
              <w:right w:val="single" w:sz="4" w:space="0" w:color="auto"/>
            </w:tcBorders>
            <w:vAlign w:val="center"/>
            <w:hideMark/>
          </w:tcPr>
          <w:p w14:paraId="2D13591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5A4E131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003F084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D2CC0F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FB44D44" w14:textId="77777777"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40</w:t>
            </w:r>
            <w:r w:rsidRPr="000C6E07">
              <w:rPr>
                <w:rFonts w:eastAsia="Times New Roman" w:cs="Times New Roman"/>
                <w:color w:val="000000"/>
                <w:sz w:val="20"/>
                <w:szCs w:val="20"/>
                <w:lang w:val="ro-RO"/>
                <w14:ligatures w14:val="none"/>
              </w:rPr>
              <w:t> </w:t>
            </w:r>
          </w:p>
          <w:p w14:paraId="08F2A5C9" w14:textId="5885F791" w:rsidR="005D7A87" w:rsidRPr="000C6E07" w:rsidRDefault="005D7A87" w:rsidP="005D7A87">
            <w:pPr>
              <w:spacing w:after="0"/>
              <w:jc w:val="center"/>
              <w:rPr>
                <w:rFonts w:eastAsia="Times New Roman" w:cs="Times New Roman"/>
                <w:color w:val="000000"/>
                <w:sz w:val="20"/>
                <w:szCs w:val="20"/>
                <w:lang w:val="ro-RO"/>
                <w14:ligatures w14:val="none"/>
              </w:rPr>
            </w:pPr>
            <w:r w:rsidRPr="00DF6D2C">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5FCED5C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CEBB54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995EEB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7F2888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6BFAB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F7EBC6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2029</w:t>
            </w:r>
          </w:p>
        </w:tc>
        <w:tc>
          <w:tcPr>
            <w:tcW w:w="1162" w:type="dxa"/>
            <w:tcBorders>
              <w:top w:val="nil"/>
              <w:left w:val="nil"/>
              <w:bottom w:val="single" w:sz="4" w:space="0" w:color="auto"/>
              <w:right w:val="single" w:sz="4" w:space="0" w:color="auto"/>
            </w:tcBorders>
            <w:vAlign w:val="center"/>
            <w:hideMark/>
          </w:tcPr>
          <w:p w14:paraId="0FD8DA44" w14:textId="675F802F" w:rsidR="005D7A87" w:rsidRPr="00832FB2" w:rsidRDefault="005D7A87" w:rsidP="005D7A87">
            <w:pPr>
              <w:spacing w:after="0"/>
              <w:jc w:val="center"/>
              <w:rPr>
                <w:rFonts w:eastAsia="Times New Roman" w:cs="Times New Roman"/>
                <w:color w:val="000000"/>
                <w:sz w:val="20"/>
                <w:szCs w:val="20"/>
                <w:lang w:val="ro-RO"/>
                <w14:ligatures w14:val="none"/>
              </w:rPr>
            </w:pPr>
            <w:r w:rsidRPr="00832FB2">
              <w:rPr>
                <w:rFonts w:eastAsia="Times New Roman" w:cs="Times New Roman"/>
                <w:color w:val="000000"/>
                <w:sz w:val="20"/>
                <w:szCs w:val="20"/>
                <w:lang w:val="ro-RO"/>
                <w14:ligatures w14:val="none"/>
              </w:rPr>
              <w:t>Ministerul Justiției;</w:t>
            </w:r>
          </w:p>
          <w:p w14:paraId="2C0EF83D" w14:textId="6E69AEB0" w:rsidR="005D7A87" w:rsidRPr="000C6E07" w:rsidRDefault="005D7A87" w:rsidP="005D7A87">
            <w:pPr>
              <w:spacing w:after="0"/>
              <w:jc w:val="center"/>
              <w:rPr>
                <w:rFonts w:eastAsia="Times New Roman" w:cs="Times New Roman"/>
                <w:color w:val="000000"/>
                <w:sz w:val="20"/>
                <w:szCs w:val="20"/>
                <w:lang w:val="ro-RO"/>
                <w14:ligatures w14:val="none"/>
              </w:rPr>
            </w:pPr>
            <w:r w:rsidRPr="00832FB2">
              <w:rPr>
                <w:rFonts w:eastAsia="Times New Roman" w:cs="Times New Roman"/>
                <w:color w:val="000000"/>
                <w:sz w:val="20"/>
                <w:szCs w:val="20"/>
                <w:lang w:val="ro-RO"/>
                <w14:ligatures w14:val="none"/>
              </w:rPr>
              <w:t>Ministerul Afacerilor Interne</w:t>
            </w:r>
          </w:p>
        </w:tc>
      </w:tr>
      <w:tr w:rsidR="005D7A87" w:rsidRPr="000C6E07" w14:paraId="3BB5ECEB" w14:textId="77777777" w:rsidTr="004356CF">
        <w:trPr>
          <w:trHeight w:val="1820"/>
        </w:trPr>
        <w:tc>
          <w:tcPr>
            <w:tcW w:w="568" w:type="dxa"/>
            <w:vMerge w:val="restart"/>
            <w:tcBorders>
              <w:top w:val="nil"/>
              <w:left w:val="single" w:sz="4" w:space="0" w:color="auto"/>
              <w:bottom w:val="single" w:sz="4" w:space="0" w:color="auto"/>
              <w:right w:val="single" w:sz="4" w:space="0" w:color="auto"/>
            </w:tcBorders>
            <w:hideMark/>
          </w:tcPr>
          <w:p w14:paraId="610FE142" w14:textId="4FF401C3"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394191BF"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Dezvoltarea capacităților de constatare și evaluare a riscurilor în cazurile de violența în familie</w:t>
            </w:r>
          </w:p>
        </w:tc>
        <w:tc>
          <w:tcPr>
            <w:tcW w:w="1843" w:type="dxa"/>
            <w:tcBorders>
              <w:top w:val="nil"/>
              <w:left w:val="nil"/>
              <w:bottom w:val="single" w:sz="4" w:space="0" w:color="auto"/>
              <w:right w:val="single" w:sz="4" w:space="0" w:color="auto"/>
            </w:tcBorders>
            <w:vAlign w:val="center"/>
            <w:hideMark/>
          </w:tcPr>
          <w:p w14:paraId="23810E0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Chestionarul de constatare și evaluare a riscurilor în cazurile de violență în familie (psihice, integritate, fizică, letalitate) digitalizat</w:t>
            </w:r>
          </w:p>
        </w:tc>
        <w:tc>
          <w:tcPr>
            <w:tcW w:w="1026" w:type="dxa"/>
            <w:tcBorders>
              <w:top w:val="nil"/>
              <w:left w:val="nil"/>
              <w:bottom w:val="single" w:sz="4" w:space="0" w:color="auto"/>
              <w:right w:val="single" w:sz="4" w:space="0" w:color="auto"/>
            </w:tcBorders>
            <w:vAlign w:val="center"/>
            <w:hideMark/>
          </w:tcPr>
          <w:p w14:paraId="2903DA8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386,4</w:t>
            </w:r>
          </w:p>
        </w:tc>
        <w:tc>
          <w:tcPr>
            <w:tcW w:w="1100" w:type="dxa"/>
            <w:tcBorders>
              <w:top w:val="nil"/>
              <w:left w:val="nil"/>
              <w:bottom w:val="single" w:sz="4" w:space="0" w:color="auto"/>
              <w:right w:val="single" w:sz="4" w:space="0" w:color="auto"/>
            </w:tcBorders>
            <w:vAlign w:val="center"/>
            <w:hideMark/>
          </w:tcPr>
          <w:p w14:paraId="13E2C7B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386,4</w:t>
            </w:r>
          </w:p>
        </w:tc>
        <w:tc>
          <w:tcPr>
            <w:tcW w:w="1015" w:type="dxa"/>
            <w:tcBorders>
              <w:top w:val="nil"/>
              <w:left w:val="nil"/>
              <w:bottom w:val="single" w:sz="4" w:space="0" w:color="auto"/>
              <w:right w:val="single" w:sz="4" w:space="0" w:color="auto"/>
            </w:tcBorders>
            <w:vAlign w:val="center"/>
            <w:hideMark/>
          </w:tcPr>
          <w:p w14:paraId="7E15193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A761DD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17DD297" w14:textId="24BE81D1"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706485EB" w14:textId="1706AD47"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90</w:t>
            </w:r>
          </w:p>
        </w:tc>
        <w:tc>
          <w:tcPr>
            <w:tcW w:w="1000" w:type="dxa"/>
            <w:tcBorders>
              <w:top w:val="nil"/>
              <w:left w:val="nil"/>
              <w:bottom w:val="single" w:sz="4" w:space="0" w:color="auto"/>
              <w:right w:val="single" w:sz="4" w:space="0" w:color="auto"/>
            </w:tcBorders>
            <w:vAlign w:val="center"/>
            <w:hideMark/>
          </w:tcPr>
          <w:p w14:paraId="5B72720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08D082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D7E8DF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386,4</w:t>
            </w:r>
          </w:p>
        </w:tc>
        <w:tc>
          <w:tcPr>
            <w:tcW w:w="1000" w:type="dxa"/>
            <w:tcBorders>
              <w:top w:val="nil"/>
              <w:left w:val="nil"/>
              <w:bottom w:val="single" w:sz="4" w:space="0" w:color="auto"/>
              <w:right w:val="single" w:sz="4" w:space="0" w:color="auto"/>
            </w:tcBorders>
            <w:vAlign w:val="center"/>
            <w:hideMark/>
          </w:tcPr>
          <w:p w14:paraId="0B18453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245A0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69F5CF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2029</w:t>
            </w:r>
          </w:p>
        </w:tc>
        <w:tc>
          <w:tcPr>
            <w:tcW w:w="1162" w:type="dxa"/>
            <w:tcBorders>
              <w:top w:val="nil"/>
              <w:left w:val="nil"/>
              <w:bottom w:val="single" w:sz="4" w:space="0" w:color="auto"/>
              <w:right w:val="single" w:sz="4" w:space="0" w:color="auto"/>
            </w:tcBorders>
            <w:vAlign w:val="center"/>
            <w:hideMark/>
          </w:tcPr>
          <w:p w14:paraId="1ABF65ED" w14:textId="4AED2438"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r w:rsidRPr="000C6E07">
              <w:rPr>
                <w:rFonts w:eastAsia="Times New Roman" w:cs="Times New Roman"/>
                <w:color w:val="000000"/>
                <w:sz w:val="20"/>
                <w:szCs w:val="20"/>
                <w:lang w:val="ro-RO"/>
                <w14:ligatures w14:val="none"/>
              </w:rPr>
              <w:t xml:space="preserve"> ANPCV</w:t>
            </w:r>
          </w:p>
        </w:tc>
      </w:tr>
      <w:tr w:rsidR="005D7A87" w:rsidRPr="000C6E07" w14:paraId="15089AFF" w14:textId="77777777" w:rsidTr="004356CF">
        <w:trPr>
          <w:trHeight w:val="2600"/>
        </w:trPr>
        <w:tc>
          <w:tcPr>
            <w:tcW w:w="568" w:type="dxa"/>
            <w:vMerge/>
            <w:tcBorders>
              <w:top w:val="nil"/>
              <w:left w:val="single" w:sz="4" w:space="0" w:color="auto"/>
              <w:bottom w:val="single" w:sz="4" w:space="0" w:color="auto"/>
              <w:right w:val="single" w:sz="4" w:space="0" w:color="auto"/>
            </w:tcBorders>
            <w:hideMark/>
          </w:tcPr>
          <w:p w14:paraId="4D4ED993"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FDACF3"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2E0CA3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100% din angajați instruiți cu privire la aplicarea Instrucțiunilor metodice privind intervenția Poliției în prevenirea și combaterea cazurilor de violență în familie, precum și </w:t>
            </w:r>
            <w:r w:rsidRPr="000C6E07">
              <w:rPr>
                <w:rFonts w:eastAsia="Times New Roman" w:cs="Times New Roman"/>
                <w:color w:val="000000"/>
                <w:sz w:val="20"/>
                <w:szCs w:val="20"/>
                <w:lang w:val="ro-RO"/>
                <w14:ligatures w14:val="none"/>
              </w:rPr>
              <w:lastRenderedPageBreak/>
              <w:t>completarea chestionarului digitalizat</w:t>
            </w:r>
          </w:p>
        </w:tc>
        <w:tc>
          <w:tcPr>
            <w:tcW w:w="1026" w:type="dxa"/>
            <w:tcBorders>
              <w:top w:val="nil"/>
              <w:left w:val="nil"/>
              <w:bottom w:val="single" w:sz="4" w:space="0" w:color="auto"/>
              <w:right w:val="single" w:sz="4" w:space="0" w:color="auto"/>
            </w:tcBorders>
            <w:vAlign w:val="center"/>
            <w:hideMark/>
          </w:tcPr>
          <w:p w14:paraId="34BB1F1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5.040,0</w:t>
            </w:r>
          </w:p>
        </w:tc>
        <w:tc>
          <w:tcPr>
            <w:tcW w:w="1100" w:type="dxa"/>
            <w:tcBorders>
              <w:top w:val="nil"/>
              <w:left w:val="nil"/>
              <w:bottom w:val="single" w:sz="4" w:space="0" w:color="auto"/>
              <w:right w:val="single" w:sz="4" w:space="0" w:color="auto"/>
            </w:tcBorders>
            <w:vAlign w:val="center"/>
            <w:hideMark/>
          </w:tcPr>
          <w:p w14:paraId="09A561BF"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015" w:type="dxa"/>
            <w:tcBorders>
              <w:top w:val="nil"/>
              <w:left w:val="nil"/>
              <w:bottom w:val="single" w:sz="4" w:space="0" w:color="auto"/>
              <w:right w:val="single" w:sz="4" w:space="0" w:color="auto"/>
            </w:tcBorders>
            <w:vAlign w:val="center"/>
            <w:hideMark/>
          </w:tcPr>
          <w:p w14:paraId="28A3976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6F535E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FBA49FE" w14:textId="77777777"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p w14:paraId="2821715A" w14:textId="57B8CC23"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90</w:t>
            </w:r>
          </w:p>
        </w:tc>
        <w:tc>
          <w:tcPr>
            <w:tcW w:w="1000" w:type="dxa"/>
            <w:tcBorders>
              <w:top w:val="nil"/>
              <w:left w:val="nil"/>
              <w:bottom w:val="single" w:sz="4" w:space="0" w:color="auto"/>
              <w:right w:val="single" w:sz="4" w:space="0" w:color="auto"/>
            </w:tcBorders>
            <w:vAlign w:val="center"/>
            <w:hideMark/>
          </w:tcPr>
          <w:p w14:paraId="2606576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C53A56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FCD628"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71B0746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196F66C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1C6601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1260577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ANPCV</w:t>
            </w:r>
          </w:p>
        </w:tc>
      </w:tr>
      <w:tr w:rsidR="005D7A87" w:rsidRPr="000C6E07" w14:paraId="0EA433AC"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062EDA8B"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E82B8EC"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7FD18F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Instruiri mixte ale autorităților în gestionarea cazurilor de violență în familie</w:t>
            </w:r>
          </w:p>
        </w:tc>
        <w:tc>
          <w:tcPr>
            <w:tcW w:w="1026" w:type="dxa"/>
            <w:tcBorders>
              <w:top w:val="nil"/>
              <w:left w:val="nil"/>
              <w:bottom w:val="single" w:sz="4" w:space="0" w:color="auto"/>
              <w:right w:val="single" w:sz="4" w:space="0" w:color="auto"/>
            </w:tcBorders>
            <w:vAlign w:val="center"/>
            <w:hideMark/>
          </w:tcPr>
          <w:p w14:paraId="13B29BE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23,4</w:t>
            </w:r>
          </w:p>
        </w:tc>
        <w:tc>
          <w:tcPr>
            <w:tcW w:w="1100" w:type="dxa"/>
            <w:tcBorders>
              <w:top w:val="nil"/>
              <w:left w:val="nil"/>
              <w:bottom w:val="single" w:sz="4" w:space="0" w:color="auto"/>
              <w:right w:val="single" w:sz="4" w:space="0" w:color="auto"/>
            </w:tcBorders>
            <w:vAlign w:val="center"/>
            <w:hideMark/>
          </w:tcPr>
          <w:p w14:paraId="461402A0" w14:textId="36F0585A"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5D7A87">
              <w:rPr>
                <w:rFonts w:eastAsia="Times New Roman" w:cs="Times New Roman"/>
                <w:color w:val="0070C0"/>
                <w:sz w:val="20"/>
                <w:szCs w:val="20"/>
                <w:lang w:val="ro-RO"/>
                <w14:ligatures w14:val="none"/>
              </w:rPr>
              <w:t>23,4</w:t>
            </w:r>
          </w:p>
        </w:tc>
        <w:tc>
          <w:tcPr>
            <w:tcW w:w="1015" w:type="dxa"/>
            <w:tcBorders>
              <w:top w:val="nil"/>
              <w:left w:val="nil"/>
              <w:bottom w:val="single" w:sz="4" w:space="0" w:color="auto"/>
              <w:right w:val="single" w:sz="4" w:space="0" w:color="auto"/>
            </w:tcBorders>
            <w:vAlign w:val="center"/>
            <w:hideMark/>
          </w:tcPr>
          <w:p w14:paraId="08B58AD2" w14:textId="3D7A4CD0" w:rsidR="005D7A87" w:rsidRPr="000C6E07" w:rsidRDefault="005D7A87" w:rsidP="005D7A87">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379B53D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C4E384B" w14:textId="77777777" w:rsidR="005D7A87" w:rsidRP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Pr="005D7A87">
              <w:rPr>
                <w:rFonts w:eastAsia="Times New Roman" w:cs="Times New Roman"/>
                <w:color w:val="000000"/>
                <w:sz w:val="20"/>
                <w:szCs w:val="20"/>
                <w:lang w:val="ro-RO"/>
                <w14:ligatures w14:val="none"/>
              </w:rPr>
              <w:t>3502</w:t>
            </w:r>
          </w:p>
          <w:p w14:paraId="5CEBFF66" w14:textId="5CCD465B" w:rsidR="005D7A87" w:rsidRPr="000C6E0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90</w:t>
            </w:r>
          </w:p>
        </w:tc>
        <w:tc>
          <w:tcPr>
            <w:tcW w:w="1000" w:type="dxa"/>
            <w:tcBorders>
              <w:top w:val="nil"/>
              <w:left w:val="nil"/>
              <w:bottom w:val="single" w:sz="4" w:space="0" w:color="auto"/>
              <w:right w:val="single" w:sz="4" w:space="0" w:color="auto"/>
            </w:tcBorders>
            <w:vAlign w:val="center"/>
            <w:hideMark/>
          </w:tcPr>
          <w:p w14:paraId="64B1D0E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4A840D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5CCCC9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CD20EE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23,4</w:t>
            </w:r>
          </w:p>
        </w:tc>
        <w:tc>
          <w:tcPr>
            <w:tcW w:w="1000" w:type="dxa"/>
            <w:tcBorders>
              <w:top w:val="nil"/>
              <w:left w:val="nil"/>
              <w:bottom w:val="single" w:sz="4" w:space="0" w:color="auto"/>
              <w:right w:val="single" w:sz="4" w:space="0" w:color="auto"/>
            </w:tcBorders>
            <w:vAlign w:val="center"/>
            <w:hideMark/>
          </w:tcPr>
          <w:p w14:paraId="5191ACE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CA2C167" w14:textId="77777777" w:rsidR="005D7A87" w:rsidRPr="000C6E07" w:rsidRDefault="005D7A87" w:rsidP="005D7A87">
            <w:pPr>
              <w:spacing w:after="0"/>
              <w:jc w:val="center"/>
              <w:rPr>
                <w:rFonts w:eastAsia="Times New Roman" w:cs="Times New Roman"/>
                <w:color w:val="FF0000"/>
                <w:sz w:val="20"/>
                <w:szCs w:val="20"/>
                <w:lang w:val="ro-RO"/>
                <w14:ligatures w14:val="none"/>
              </w:rPr>
            </w:pPr>
            <w:r w:rsidRPr="005D7A87">
              <w:rPr>
                <w:rFonts w:eastAsia="Times New Roman" w:cs="Times New Roman"/>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6AE2820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37706C7C" w14:textId="77777777" w:rsidTr="004356CF">
        <w:trPr>
          <w:trHeight w:val="7540"/>
        </w:trPr>
        <w:tc>
          <w:tcPr>
            <w:tcW w:w="568" w:type="dxa"/>
            <w:tcBorders>
              <w:top w:val="nil"/>
              <w:left w:val="single" w:sz="4" w:space="0" w:color="auto"/>
              <w:bottom w:val="single" w:sz="4" w:space="0" w:color="auto"/>
              <w:right w:val="single" w:sz="4" w:space="0" w:color="auto"/>
            </w:tcBorders>
            <w:hideMark/>
          </w:tcPr>
          <w:p w14:paraId="4C5F0634" w14:textId="15C2C11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747DE5FC"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Extinderea regională a serviciilor pentru victimele violenței în familie în baza modelului Centrului de Justiție Familială</w:t>
            </w:r>
          </w:p>
        </w:tc>
        <w:tc>
          <w:tcPr>
            <w:tcW w:w="1843" w:type="dxa"/>
            <w:tcBorders>
              <w:top w:val="nil"/>
              <w:left w:val="nil"/>
              <w:bottom w:val="single" w:sz="4" w:space="0" w:color="auto"/>
              <w:right w:val="single" w:sz="4" w:space="0" w:color="auto"/>
            </w:tcBorders>
            <w:vAlign w:val="center"/>
            <w:hideMark/>
          </w:tcPr>
          <w:p w14:paraId="1CECE05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Analiza funcțională a Centrului de Justiție Familială și a oportunității creării unui centru regional nou efectuată</w:t>
            </w:r>
          </w:p>
        </w:tc>
        <w:tc>
          <w:tcPr>
            <w:tcW w:w="1026" w:type="dxa"/>
            <w:tcBorders>
              <w:top w:val="nil"/>
              <w:left w:val="nil"/>
              <w:bottom w:val="single" w:sz="4" w:space="0" w:color="auto"/>
              <w:right w:val="single" w:sz="4" w:space="0" w:color="auto"/>
            </w:tcBorders>
            <w:vAlign w:val="center"/>
            <w:hideMark/>
          </w:tcPr>
          <w:p w14:paraId="46685EAC"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100" w:type="dxa"/>
            <w:tcBorders>
              <w:top w:val="nil"/>
              <w:left w:val="nil"/>
              <w:bottom w:val="single" w:sz="4" w:space="0" w:color="auto"/>
              <w:right w:val="single" w:sz="4" w:space="0" w:color="auto"/>
            </w:tcBorders>
            <w:vAlign w:val="center"/>
            <w:hideMark/>
          </w:tcPr>
          <w:p w14:paraId="2D04D53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D75361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922" w:type="dxa"/>
            <w:tcBorders>
              <w:top w:val="nil"/>
              <w:left w:val="nil"/>
              <w:bottom w:val="single" w:sz="4" w:space="0" w:color="auto"/>
              <w:right w:val="single" w:sz="4" w:space="0" w:color="auto"/>
            </w:tcBorders>
            <w:vAlign w:val="center"/>
            <w:hideMark/>
          </w:tcPr>
          <w:p w14:paraId="04A8DB4A" w14:textId="07F0951D"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40,00</w:t>
            </w: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E268DB3" w14:textId="673F71EF" w:rsidR="005D7A87" w:rsidRDefault="005D7A87" w:rsidP="005D7A87">
            <w:pPr>
              <w:spacing w:after="0"/>
              <w:rPr>
                <w:rFonts w:eastAsia="Times New Roman" w:cs="Times New Roman"/>
                <w:color w:val="000000"/>
                <w:sz w:val="20"/>
                <w:szCs w:val="20"/>
                <w:highlight w:val="yellow"/>
                <w:lang w:val="ro-RO"/>
                <w14:ligatures w14:val="none"/>
              </w:rPr>
            </w:pPr>
          </w:p>
          <w:p w14:paraId="6D18C8BD" w14:textId="7EFC50BB"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ANPCVF</w:t>
            </w:r>
          </w:p>
          <w:p w14:paraId="04B37F17" w14:textId="77777777"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3502</w:t>
            </w:r>
          </w:p>
          <w:p w14:paraId="371DB962" w14:textId="77777777" w:rsidR="005D7A87" w:rsidRP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90</w:t>
            </w:r>
          </w:p>
          <w:p w14:paraId="5CF14B92" w14:textId="489C4F84" w:rsidR="005D7A87" w:rsidRPr="000C6E0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40</w:t>
            </w:r>
          </w:p>
        </w:tc>
        <w:tc>
          <w:tcPr>
            <w:tcW w:w="1000" w:type="dxa"/>
            <w:tcBorders>
              <w:top w:val="nil"/>
              <w:left w:val="nil"/>
              <w:bottom w:val="single" w:sz="4" w:space="0" w:color="auto"/>
              <w:right w:val="single" w:sz="4" w:space="0" w:color="auto"/>
            </w:tcBorders>
            <w:vAlign w:val="center"/>
            <w:hideMark/>
          </w:tcPr>
          <w:p w14:paraId="2FED07E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354863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AE351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2377AE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000" w:type="dxa"/>
            <w:tcBorders>
              <w:top w:val="nil"/>
              <w:left w:val="nil"/>
              <w:bottom w:val="single" w:sz="4" w:space="0" w:color="auto"/>
              <w:right w:val="single" w:sz="4" w:space="0" w:color="auto"/>
            </w:tcBorders>
            <w:vAlign w:val="center"/>
            <w:hideMark/>
          </w:tcPr>
          <w:p w14:paraId="3573286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DE165D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50E68A51" w14:textId="49AEC5C1" w:rsidR="005D7A87" w:rsidRDefault="005D7A87" w:rsidP="005D7A87">
            <w:pPr>
              <w:spacing w:after="0"/>
              <w:jc w:val="center"/>
              <w:rPr>
                <w:rFonts w:eastAsia="Times New Roman" w:cs="Times New Roman"/>
                <w:color w:val="000000"/>
                <w:sz w:val="20"/>
                <w:szCs w:val="20"/>
                <w:lang w:val="ro-RO"/>
                <w14:ligatures w14:val="none"/>
              </w:rPr>
            </w:pPr>
            <w:r w:rsidRPr="005D7A87">
              <w:rPr>
                <w:rFonts w:eastAsia="Times New Roman" w:cs="Times New Roman"/>
                <w:color w:val="000000"/>
                <w:sz w:val="20"/>
                <w:szCs w:val="20"/>
                <w:lang w:val="ro-RO"/>
                <w14:ligatures w14:val="none"/>
              </w:rPr>
              <w:t>Agenția Națională pentru Prevenirea și Combaterea Violenței împotriva Femeilor și a Violenței în Familie;</w:t>
            </w:r>
          </w:p>
          <w:p w14:paraId="6B0B9C19" w14:textId="23CB7F7C"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Ministerul Muncii și Protecției Sociale; Ministerul Justiției, Ministerul Sănătății; Consiliul Național pentru Asistența Juridică Garantată de Stat; Consiliul Superior al Magistraturii</w:t>
            </w:r>
          </w:p>
        </w:tc>
      </w:tr>
      <w:tr w:rsidR="005D7A87" w:rsidRPr="000C6E07" w14:paraId="36D17B58"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6EFE9F32" w14:textId="4912D889"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392E2C50"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Evidența electronică a agresorilor familiali</w:t>
            </w:r>
          </w:p>
        </w:tc>
        <w:tc>
          <w:tcPr>
            <w:tcW w:w="1843" w:type="dxa"/>
            <w:tcBorders>
              <w:top w:val="nil"/>
              <w:left w:val="nil"/>
              <w:bottom w:val="single" w:sz="4" w:space="0" w:color="auto"/>
              <w:right w:val="single" w:sz="4" w:space="0" w:color="auto"/>
            </w:tcBorders>
            <w:vAlign w:val="center"/>
            <w:hideMark/>
          </w:tcPr>
          <w:p w14:paraId="3B66C95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Registrul automatizat al agresorilor familiali operaționalizat</w:t>
            </w:r>
          </w:p>
        </w:tc>
        <w:tc>
          <w:tcPr>
            <w:tcW w:w="1026" w:type="dxa"/>
            <w:tcBorders>
              <w:top w:val="nil"/>
              <w:left w:val="nil"/>
              <w:bottom w:val="single" w:sz="4" w:space="0" w:color="auto"/>
              <w:right w:val="single" w:sz="4" w:space="0" w:color="auto"/>
            </w:tcBorders>
            <w:vAlign w:val="center"/>
            <w:hideMark/>
          </w:tcPr>
          <w:p w14:paraId="7145CA2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1.000,0</w:t>
            </w:r>
          </w:p>
        </w:tc>
        <w:tc>
          <w:tcPr>
            <w:tcW w:w="1100" w:type="dxa"/>
            <w:tcBorders>
              <w:top w:val="nil"/>
              <w:left w:val="nil"/>
              <w:bottom w:val="single" w:sz="4" w:space="0" w:color="auto"/>
              <w:right w:val="single" w:sz="4" w:space="0" w:color="auto"/>
            </w:tcBorders>
            <w:vAlign w:val="center"/>
            <w:hideMark/>
          </w:tcPr>
          <w:p w14:paraId="1D68BD3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630B83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1.000,0</w:t>
            </w:r>
          </w:p>
        </w:tc>
        <w:tc>
          <w:tcPr>
            <w:tcW w:w="922" w:type="dxa"/>
            <w:tcBorders>
              <w:top w:val="nil"/>
              <w:left w:val="nil"/>
              <w:bottom w:val="single" w:sz="4" w:space="0" w:color="auto"/>
              <w:right w:val="single" w:sz="4" w:space="0" w:color="auto"/>
            </w:tcBorders>
            <w:vAlign w:val="center"/>
            <w:hideMark/>
          </w:tcPr>
          <w:p w14:paraId="26189EEE" w14:textId="4FB51912"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1.000,0</w:t>
            </w:r>
          </w:p>
        </w:tc>
        <w:tc>
          <w:tcPr>
            <w:tcW w:w="1182" w:type="dxa"/>
            <w:tcBorders>
              <w:top w:val="nil"/>
              <w:left w:val="nil"/>
              <w:bottom w:val="single" w:sz="4" w:space="0" w:color="auto"/>
              <w:right w:val="single" w:sz="4" w:space="0" w:color="auto"/>
            </w:tcBorders>
            <w:vAlign w:val="center"/>
            <w:hideMark/>
          </w:tcPr>
          <w:p w14:paraId="0C755880" w14:textId="0CD0D230"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ANPCV</w:t>
            </w:r>
          </w:p>
          <w:p w14:paraId="02BBBCE9" w14:textId="37D1F373"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04DE19BD" w14:textId="77777777"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p w14:paraId="1995CEBB" w14:textId="7F6F3982"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90</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3288D3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5BF249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1.000,0</w:t>
            </w:r>
          </w:p>
        </w:tc>
        <w:tc>
          <w:tcPr>
            <w:tcW w:w="1000" w:type="dxa"/>
            <w:tcBorders>
              <w:top w:val="nil"/>
              <w:left w:val="nil"/>
              <w:bottom w:val="single" w:sz="4" w:space="0" w:color="auto"/>
              <w:right w:val="single" w:sz="4" w:space="0" w:color="auto"/>
            </w:tcBorders>
            <w:vAlign w:val="center"/>
            <w:hideMark/>
          </w:tcPr>
          <w:p w14:paraId="70EAAC7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E7FAC5"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F8C3CC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20520D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2029</w:t>
            </w:r>
          </w:p>
        </w:tc>
        <w:tc>
          <w:tcPr>
            <w:tcW w:w="1162" w:type="dxa"/>
            <w:tcBorders>
              <w:top w:val="nil"/>
              <w:left w:val="nil"/>
              <w:bottom w:val="single" w:sz="4" w:space="0" w:color="auto"/>
              <w:right w:val="single" w:sz="4" w:space="0" w:color="auto"/>
            </w:tcBorders>
            <w:vAlign w:val="center"/>
            <w:hideMark/>
          </w:tcPr>
          <w:p w14:paraId="2DD46889" w14:textId="08B0899C" w:rsidR="005D7A87" w:rsidRDefault="005D7A87" w:rsidP="005D7A87">
            <w:pPr>
              <w:spacing w:after="0"/>
              <w:jc w:val="center"/>
              <w:rPr>
                <w:rFonts w:eastAsia="Times New Roman" w:cs="Times New Roman"/>
                <w:color w:val="000000"/>
                <w:sz w:val="20"/>
                <w:szCs w:val="20"/>
                <w:lang w:val="ro-RO"/>
                <w14:ligatures w14:val="none"/>
              </w:rPr>
            </w:pPr>
            <w:r w:rsidRPr="00DF6D2C">
              <w:rPr>
                <w:rFonts w:eastAsia="Times New Roman" w:cs="Times New Roman"/>
                <w:color w:val="000000"/>
                <w:sz w:val="20"/>
                <w:szCs w:val="20"/>
                <w:lang w:val="ro-RO"/>
                <w14:ligatures w14:val="none"/>
              </w:rPr>
              <w:t>ANPCV</w:t>
            </w:r>
            <w:r>
              <w:rPr>
                <w:rFonts w:eastAsia="Times New Roman" w:cs="Times New Roman"/>
                <w:color w:val="000000"/>
                <w:sz w:val="20"/>
                <w:szCs w:val="20"/>
                <w:lang w:val="ro-RO"/>
                <w14:ligatures w14:val="none"/>
              </w:rPr>
              <w:t>;</w:t>
            </w:r>
          </w:p>
          <w:p w14:paraId="39CADEC8" w14:textId="409BA34C"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5D7A87" w:rsidRPr="000C6E07" w14:paraId="026875AF"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1D75ACE6"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676A36F"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068B5C9" w14:textId="469B3F61"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angajați instruiți cu privire la utilizarea Registrului autom</w:t>
            </w:r>
            <w:r>
              <w:rPr>
                <w:rFonts w:eastAsia="Times New Roman" w:cs="Times New Roman"/>
                <w:color w:val="000000"/>
                <w:sz w:val="20"/>
                <w:szCs w:val="20"/>
                <w:lang w:val="ro-RO"/>
                <w14:ligatures w14:val="none"/>
              </w:rPr>
              <w:t>at</w:t>
            </w:r>
            <w:r w:rsidRPr="000C6E07">
              <w:rPr>
                <w:rFonts w:eastAsia="Times New Roman" w:cs="Times New Roman"/>
                <w:color w:val="000000"/>
                <w:sz w:val="20"/>
                <w:szCs w:val="20"/>
                <w:lang w:val="ro-RO"/>
                <w14:ligatures w14:val="none"/>
              </w:rPr>
              <w:t>izat al agresorilor familiali</w:t>
            </w:r>
          </w:p>
        </w:tc>
        <w:tc>
          <w:tcPr>
            <w:tcW w:w="1026" w:type="dxa"/>
            <w:tcBorders>
              <w:top w:val="nil"/>
              <w:left w:val="nil"/>
              <w:bottom w:val="single" w:sz="4" w:space="0" w:color="auto"/>
              <w:right w:val="single" w:sz="4" w:space="0" w:color="auto"/>
            </w:tcBorders>
            <w:vAlign w:val="center"/>
            <w:hideMark/>
          </w:tcPr>
          <w:p w14:paraId="5C12BF6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100" w:type="dxa"/>
            <w:tcBorders>
              <w:top w:val="nil"/>
              <w:left w:val="nil"/>
              <w:bottom w:val="single" w:sz="4" w:space="0" w:color="auto"/>
              <w:right w:val="single" w:sz="4" w:space="0" w:color="auto"/>
            </w:tcBorders>
            <w:vAlign w:val="center"/>
            <w:hideMark/>
          </w:tcPr>
          <w:p w14:paraId="5645B50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015" w:type="dxa"/>
            <w:tcBorders>
              <w:top w:val="nil"/>
              <w:left w:val="nil"/>
              <w:bottom w:val="single" w:sz="4" w:space="0" w:color="auto"/>
              <w:right w:val="single" w:sz="4" w:space="0" w:color="auto"/>
            </w:tcBorders>
            <w:vAlign w:val="center"/>
            <w:hideMark/>
          </w:tcPr>
          <w:p w14:paraId="4B3E828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821EBE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DA83F89" w14:textId="4A9A3865"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ANPCV</w:t>
            </w:r>
          </w:p>
          <w:p w14:paraId="272BED97" w14:textId="421C2AF1"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0863D09E" w14:textId="38CE9CB0"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90</w:t>
            </w:r>
          </w:p>
        </w:tc>
        <w:tc>
          <w:tcPr>
            <w:tcW w:w="1000" w:type="dxa"/>
            <w:tcBorders>
              <w:top w:val="nil"/>
              <w:left w:val="nil"/>
              <w:bottom w:val="single" w:sz="4" w:space="0" w:color="auto"/>
              <w:right w:val="single" w:sz="4" w:space="0" w:color="auto"/>
            </w:tcBorders>
            <w:vAlign w:val="center"/>
            <w:hideMark/>
          </w:tcPr>
          <w:p w14:paraId="7846ECC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F57A2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5C4CD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EFC94B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6AE13A2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2.520,0</w:t>
            </w:r>
          </w:p>
        </w:tc>
        <w:tc>
          <w:tcPr>
            <w:tcW w:w="1082" w:type="dxa"/>
            <w:tcBorders>
              <w:top w:val="nil"/>
              <w:left w:val="nil"/>
              <w:bottom w:val="single" w:sz="4" w:space="0" w:color="auto"/>
              <w:right w:val="single" w:sz="4" w:space="0" w:color="auto"/>
            </w:tcBorders>
            <w:vAlign w:val="center"/>
            <w:hideMark/>
          </w:tcPr>
          <w:p w14:paraId="5D8164C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62F7F4E9" w14:textId="77777777" w:rsidR="005D7A87" w:rsidRDefault="005D7A87" w:rsidP="005D7A87">
            <w:pPr>
              <w:spacing w:after="0"/>
              <w:jc w:val="center"/>
              <w:rPr>
                <w:rFonts w:eastAsia="Times New Roman" w:cs="Times New Roman"/>
                <w:color w:val="000000"/>
                <w:sz w:val="20"/>
                <w:szCs w:val="20"/>
                <w:lang w:val="ro-RO"/>
                <w14:ligatures w14:val="none"/>
              </w:rPr>
            </w:pPr>
          </w:p>
          <w:p w14:paraId="4804FCF1" w14:textId="2FF7D6D2"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ANPCV</w:t>
            </w:r>
            <w:r>
              <w:rPr>
                <w:rFonts w:eastAsia="Times New Roman" w:cs="Times New Roman"/>
                <w:color w:val="000000"/>
                <w:sz w:val="20"/>
                <w:szCs w:val="20"/>
                <w:lang w:val="ro-RO"/>
                <w14:ligatures w14:val="none"/>
              </w:rPr>
              <w:t>;</w:t>
            </w:r>
            <w:r w:rsidRPr="000C6E07">
              <w:rPr>
                <w:rFonts w:eastAsia="Times New Roman" w:cs="Times New Roman"/>
                <w:color w:val="000000"/>
                <w:sz w:val="20"/>
                <w:szCs w:val="20"/>
                <w:lang w:val="ro-RO"/>
                <w14:ligatures w14:val="none"/>
              </w:rPr>
              <w:t xml:space="preserve"> Ministerul Afacerilor Interne</w:t>
            </w:r>
          </w:p>
        </w:tc>
      </w:tr>
      <w:tr w:rsidR="005D7A87" w:rsidRPr="000C6E07" w14:paraId="430B5ACA"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7C775CAA"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A2AD867"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8BCAE8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Registrul automatizat al agresorilor familiali populat cu informație</w:t>
            </w:r>
          </w:p>
        </w:tc>
        <w:tc>
          <w:tcPr>
            <w:tcW w:w="1026" w:type="dxa"/>
            <w:tcBorders>
              <w:top w:val="nil"/>
              <w:left w:val="nil"/>
              <w:bottom w:val="single" w:sz="4" w:space="0" w:color="auto"/>
              <w:right w:val="single" w:sz="4" w:space="0" w:color="auto"/>
            </w:tcBorders>
            <w:vAlign w:val="center"/>
            <w:hideMark/>
          </w:tcPr>
          <w:p w14:paraId="698032F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76309B0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1B83F3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45D517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B0BC03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CDAB4D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D59277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4B443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284B8D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B4C9A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AA9F86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55AC036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3593F137" w14:textId="77777777" w:rsidTr="00DF6D2C">
        <w:trPr>
          <w:trHeight w:val="430"/>
        </w:trPr>
        <w:tc>
          <w:tcPr>
            <w:tcW w:w="568" w:type="dxa"/>
            <w:vMerge w:val="restart"/>
            <w:tcBorders>
              <w:top w:val="nil"/>
              <w:left w:val="single" w:sz="4" w:space="0" w:color="auto"/>
              <w:bottom w:val="single" w:sz="4" w:space="0" w:color="auto"/>
              <w:right w:val="single" w:sz="4" w:space="0" w:color="auto"/>
            </w:tcBorders>
            <w:hideMark/>
          </w:tcPr>
          <w:p w14:paraId="25A6BF17" w14:textId="0907AC7D"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8FDA8AE" w14:textId="77777777" w:rsidR="005D7A87" w:rsidRPr="000C6E07" w:rsidRDefault="005D7A87" w:rsidP="005D7A87">
            <w:pPr>
              <w:spacing w:after="0"/>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Consolidarea răspunsului pentru combaterea și prevenirea fenomenelor de </w:t>
            </w:r>
            <w:proofErr w:type="spellStart"/>
            <w:r w:rsidRPr="000C6E07">
              <w:rPr>
                <w:rFonts w:eastAsia="Times New Roman" w:cs="Times New Roman"/>
                <w:sz w:val="20"/>
                <w:szCs w:val="20"/>
                <w:lang w:val="ro-RO"/>
                <w14:ligatures w14:val="none"/>
              </w:rPr>
              <w:t>bullying</w:t>
            </w:r>
            <w:proofErr w:type="spellEnd"/>
            <w:r w:rsidRPr="000C6E07">
              <w:rPr>
                <w:rFonts w:eastAsia="Times New Roman" w:cs="Times New Roman"/>
                <w:sz w:val="20"/>
                <w:szCs w:val="20"/>
                <w:lang w:val="ro-RO"/>
                <w14:ligatures w14:val="none"/>
              </w:rPr>
              <w:t>, consum de alcool, droguri și adicții în rândul minorilor</w:t>
            </w:r>
          </w:p>
        </w:tc>
        <w:tc>
          <w:tcPr>
            <w:tcW w:w="1843" w:type="dxa"/>
            <w:tcBorders>
              <w:top w:val="nil"/>
              <w:left w:val="nil"/>
              <w:bottom w:val="single" w:sz="4" w:space="0" w:color="auto"/>
              <w:right w:val="single" w:sz="4" w:space="0" w:color="auto"/>
            </w:tcBorders>
            <w:vAlign w:val="center"/>
            <w:hideMark/>
          </w:tcPr>
          <w:p w14:paraId="793231DD" w14:textId="0F09BA00" w:rsidR="005D7A87" w:rsidRPr="00CD15E1" w:rsidRDefault="005D7A87" w:rsidP="005D7A87">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 xml:space="preserve">Polițiști și carabinieri instruiți pentru prevenirea și gestionarea cazurilor de </w:t>
            </w:r>
            <w:proofErr w:type="spellStart"/>
            <w:r w:rsidRPr="005D7A87">
              <w:rPr>
                <w:rFonts w:eastAsia="Times New Roman" w:cs="Times New Roman"/>
                <w:sz w:val="20"/>
                <w:szCs w:val="20"/>
                <w:lang w:val="ro-RO"/>
                <w14:ligatures w14:val="none"/>
              </w:rPr>
              <w:t>bullying</w:t>
            </w:r>
            <w:proofErr w:type="spellEnd"/>
            <w:r w:rsidRPr="005D7A87">
              <w:rPr>
                <w:rFonts w:eastAsia="Times New Roman" w:cs="Times New Roman"/>
                <w:sz w:val="20"/>
                <w:szCs w:val="20"/>
                <w:lang w:val="ro-RO"/>
                <w14:ligatures w14:val="none"/>
              </w:rPr>
              <w:t>, consum de alcool, droguri și adicții în rândul minorilor în colaborare cu personalul didactic și serviciile de asistență psihologică</w:t>
            </w:r>
            <w:r w:rsidRPr="00CD15E1">
              <w:rPr>
                <w:rFonts w:eastAsia="Times New Roman" w:cs="Times New Roman"/>
                <w:i/>
                <w:iCs/>
                <w:sz w:val="20"/>
                <w:szCs w:val="20"/>
                <w:lang w:val="ro-RO"/>
                <w14:ligatures w14:val="none"/>
              </w:rPr>
              <w:t xml:space="preserve"> </w:t>
            </w:r>
          </w:p>
          <w:p w14:paraId="063CCE17" w14:textId="15AFDB02" w:rsidR="005D7A87" w:rsidRPr="000C6E07" w:rsidRDefault="005D7A87" w:rsidP="005D7A87">
            <w:pPr>
              <w:spacing w:after="0"/>
              <w:jc w:val="center"/>
              <w:rPr>
                <w:rFonts w:eastAsia="Times New Roman" w:cs="Times New Roman"/>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65BB08A4"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5.040,0</w:t>
            </w:r>
          </w:p>
        </w:tc>
        <w:tc>
          <w:tcPr>
            <w:tcW w:w="1100" w:type="dxa"/>
            <w:tcBorders>
              <w:top w:val="nil"/>
              <w:left w:val="nil"/>
              <w:bottom w:val="single" w:sz="4" w:space="0" w:color="auto"/>
              <w:right w:val="single" w:sz="4" w:space="0" w:color="auto"/>
            </w:tcBorders>
            <w:vAlign w:val="center"/>
            <w:hideMark/>
          </w:tcPr>
          <w:p w14:paraId="534775EF"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784436A"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5.040,0</w:t>
            </w:r>
          </w:p>
        </w:tc>
        <w:tc>
          <w:tcPr>
            <w:tcW w:w="922" w:type="dxa"/>
            <w:tcBorders>
              <w:top w:val="nil"/>
              <w:left w:val="nil"/>
              <w:bottom w:val="single" w:sz="4" w:space="0" w:color="auto"/>
              <w:right w:val="single" w:sz="4" w:space="0" w:color="auto"/>
            </w:tcBorders>
            <w:vAlign w:val="center"/>
            <w:hideMark/>
          </w:tcPr>
          <w:p w14:paraId="281B216F"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C55E7C6" w14:textId="114E4D4E" w:rsidR="005D7A87" w:rsidRPr="005D7A87" w:rsidRDefault="005D7A87" w:rsidP="005D7A87">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 xml:space="preserve">UNICEF </w:t>
            </w:r>
          </w:p>
          <w:p w14:paraId="7657AD39" w14:textId="77777777" w:rsidR="005D7A87" w:rsidRPr="005D7A87" w:rsidRDefault="005D7A87" w:rsidP="005D7A87">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3502</w:t>
            </w:r>
          </w:p>
          <w:p w14:paraId="33DE76C4" w14:textId="5B962442" w:rsidR="005D7A87" w:rsidRPr="000C6E07" w:rsidRDefault="005D7A87" w:rsidP="005D7A87">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88</w:t>
            </w: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87F1611"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3E7E7459"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2.520,0</w:t>
            </w:r>
          </w:p>
        </w:tc>
        <w:tc>
          <w:tcPr>
            <w:tcW w:w="1000" w:type="dxa"/>
            <w:tcBorders>
              <w:top w:val="nil"/>
              <w:left w:val="nil"/>
              <w:bottom w:val="single" w:sz="4" w:space="0" w:color="auto"/>
              <w:right w:val="single" w:sz="4" w:space="0" w:color="auto"/>
            </w:tcBorders>
            <w:vAlign w:val="center"/>
            <w:hideMark/>
          </w:tcPr>
          <w:p w14:paraId="14426303" w14:textId="77777777" w:rsidR="005D7A87" w:rsidRPr="005D7A87" w:rsidRDefault="005D7A87" w:rsidP="005D7A87">
            <w:pPr>
              <w:spacing w:after="0"/>
              <w:jc w:val="center"/>
              <w:rPr>
                <w:rFonts w:eastAsia="Times New Roman" w:cs="Times New Roman"/>
                <w:color w:val="0070C0"/>
                <w:sz w:val="20"/>
                <w:szCs w:val="20"/>
                <w:lang w:val="ro-RO"/>
                <w14:ligatures w14:val="none"/>
              </w:rPr>
            </w:pPr>
            <w:r w:rsidRPr="005D7A8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DD140D"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5705C6"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A85489C" w14:textId="4E012B58" w:rsidR="005D7A87" w:rsidRPr="000C6E07" w:rsidRDefault="005D7A87" w:rsidP="005D7A87">
            <w:pPr>
              <w:spacing w:after="0"/>
              <w:jc w:val="center"/>
              <w:rPr>
                <w:rFonts w:eastAsia="Times New Roman" w:cs="Times New Roman"/>
                <w:sz w:val="20"/>
                <w:szCs w:val="20"/>
                <w:lang w:val="ro-RO"/>
                <w14:ligatures w14:val="none"/>
              </w:rPr>
            </w:pPr>
            <w:r w:rsidRPr="005D7A87">
              <w:rPr>
                <w:rFonts w:eastAsia="Times New Roman" w:cs="Times New Roman"/>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226F26FF" w14:textId="77777777" w:rsidR="005D7A8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Ministerul Afacerilor Interne, Ministerul Educației și Cercetării, UNICEF, CNPAC, Terre des </w:t>
            </w:r>
            <w:proofErr w:type="spellStart"/>
            <w:r w:rsidRPr="000C6E07">
              <w:rPr>
                <w:rFonts w:eastAsia="Times New Roman" w:cs="Times New Roman"/>
                <w:sz w:val="20"/>
                <w:szCs w:val="20"/>
                <w:lang w:val="ro-RO"/>
                <w14:ligatures w14:val="none"/>
              </w:rPr>
              <w:t>Hommes</w:t>
            </w:r>
            <w:proofErr w:type="spellEnd"/>
            <w:r>
              <w:rPr>
                <w:rFonts w:eastAsia="Times New Roman" w:cs="Times New Roman"/>
                <w:sz w:val="20"/>
                <w:szCs w:val="20"/>
                <w:lang w:val="ro-RO"/>
                <w14:ligatures w14:val="none"/>
              </w:rPr>
              <w:t>,</w:t>
            </w:r>
          </w:p>
          <w:p w14:paraId="363F4DAF" w14:textId="6DA2E416" w:rsidR="005D7A87" w:rsidRPr="000C6E07" w:rsidRDefault="005D7A87" w:rsidP="005D7A87">
            <w:pPr>
              <w:spacing w:after="0"/>
              <w:jc w:val="center"/>
              <w:rPr>
                <w:rFonts w:eastAsia="Times New Roman" w:cs="Times New Roman"/>
                <w:sz w:val="20"/>
                <w:szCs w:val="20"/>
                <w:lang w:val="ro-RO"/>
                <w14:ligatures w14:val="none"/>
              </w:rPr>
            </w:pPr>
            <w:r w:rsidRPr="00DF6D2C">
              <w:rPr>
                <w:rFonts w:eastAsia="Times New Roman" w:cs="Times New Roman"/>
                <w:sz w:val="20"/>
                <w:szCs w:val="20"/>
                <w:lang w:val="ro-RO"/>
                <w14:ligatures w14:val="none"/>
              </w:rPr>
              <w:t xml:space="preserve">Alianța ONG-urilor Active în domeniul Protecției Sociale a Copilului și </w:t>
            </w:r>
            <w:r w:rsidRPr="00DF6D2C">
              <w:rPr>
                <w:rFonts w:eastAsia="Times New Roman" w:cs="Times New Roman"/>
                <w:sz w:val="20"/>
                <w:szCs w:val="20"/>
                <w:lang w:val="ro-RO"/>
                <w14:ligatures w14:val="none"/>
              </w:rPr>
              <w:lastRenderedPageBreak/>
              <w:t>Familiei (APSCF)</w:t>
            </w:r>
          </w:p>
        </w:tc>
      </w:tr>
      <w:tr w:rsidR="005D7A87" w:rsidRPr="000C6E07" w14:paraId="2A353DD5"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07999F21"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B7A67CB" w14:textId="77777777" w:rsidR="005D7A87" w:rsidRPr="000C6E07" w:rsidRDefault="005D7A87" w:rsidP="005D7A87">
            <w:pPr>
              <w:spacing w:after="0"/>
              <w:rPr>
                <w:rFonts w:eastAsia="Times New Roman" w:cs="Times New Roman"/>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1EC9012" w14:textId="7FB46928" w:rsidR="005D7A87" w:rsidRPr="000C6E07" w:rsidRDefault="005D7A87"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Ofițeri de legătură din partea IGP instituiți pentru fiecare instituție de învățământ</w:t>
            </w:r>
            <w:r w:rsidRPr="008252AB">
              <w:rPr>
                <w:rFonts w:eastAsia="Times New Roman" w:cs="Times New Roman"/>
                <w:sz w:val="20"/>
                <w:szCs w:val="20"/>
                <w:lang w:val="ro-RO"/>
                <w14:ligatures w14:val="none"/>
              </w:rPr>
              <w:t xml:space="preserve"> </w:t>
            </w:r>
          </w:p>
        </w:tc>
        <w:tc>
          <w:tcPr>
            <w:tcW w:w="1026" w:type="dxa"/>
            <w:tcBorders>
              <w:top w:val="nil"/>
              <w:left w:val="nil"/>
              <w:bottom w:val="single" w:sz="4" w:space="0" w:color="auto"/>
              <w:right w:val="single" w:sz="4" w:space="0" w:color="auto"/>
            </w:tcBorders>
            <w:vAlign w:val="center"/>
            <w:hideMark/>
          </w:tcPr>
          <w:p w14:paraId="3B5FB44B"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61946C19"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603E688"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EAFB504" w14:textId="6C17F1C4" w:rsidR="005D7A87" w:rsidRPr="000C6E07" w:rsidRDefault="005D7A87" w:rsidP="005D7A87">
            <w:pPr>
              <w:spacing w:after="0"/>
              <w:jc w:val="center"/>
              <w:rPr>
                <w:rFonts w:eastAsia="Times New Roman" w:cs="Times New Roman"/>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5394A167" w14:textId="77777777" w:rsidR="005D7A87" w:rsidRDefault="005D7A87" w:rsidP="005D7A87">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3502</w:t>
            </w:r>
          </w:p>
          <w:p w14:paraId="25C02A7A" w14:textId="45F7EEE5" w:rsidR="005D7A87" w:rsidRPr="000C6E07" w:rsidRDefault="005D7A87" w:rsidP="005D7A87">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88</w:t>
            </w: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2A63DC"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D45CB15"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8CCE81"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9DAF7AB"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05C1592"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7B42939"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059E6FD7"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Ministerul Afacerilor Interne, </w:t>
            </w:r>
          </w:p>
        </w:tc>
      </w:tr>
      <w:tr w:rsidR="005D7A87" w:rsidRPr="000C6E07" w14:paraId="06460424" w14:textId="77777777" w:rsidTr="004356CF">
        <w:trPr>
          <w:trHeight w:val="4680"/>
        </w:trPr>
        <w:tc>
          <w:tcPr>
            <w:tcW w:w="568" w:type="dxa"/>
            <w:vMerge/>
            <w:tcBorders>
              <w:top w:val="nil"/>
              <w:left w:val="single" w:sz="4" w:space="0" w:color="auto"/>
              <w:bottom w:val="single" w:sz="4" w:space="0" w:color="auto"/>
              <w:right w:val="single" w:sz="4" w:space="0" w:color="auto"/>
            </w:tcBorders>
            <w:hideMark/>
          </w:tcPr>
          <w:p w14:paraId="5791ED18"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4418DF5" w14:textId="77777777" w:rsidR="005D7A87" w:rsidRPr="000C6E07" w:rsidRDefault="005D7A87" w:rsidP="005D7A87">
            <w:pPr>
              <w:spacing w:after="0"/>
              <w:rPr>
                <w:rFonts w:eastAsia="Times New Roman" w:cs="Times New Roman"/>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1EFBA7C" w14:textId="7308F7C3"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Mecanism de comunicare, prevenire și intervenție bilaterală cu instituțiile de învățământ dezvoltat (planuri comune, inclusiv patrule de proximitate în jurul unităților de învățământ, intervenții coordonate în cazuri grave sau repetate, identificare și monitorizarea cazurilor de </w:t>
            </w:r>
            <w:proofErr w:type="spellStart"/>
            <w:r w:rsidRPr="000C6E07">
              <w:rPr>
                <w:rFonts w:eastAsia="Times New Roman" w:cs="Times New Roman"/>
                <w:sz w:val="20"/>
                <w:szCs w:val="20"/>
                <w:lang w:val="ro-RO"/>
                <w14:ligatures w14:val="none"/>
              </w:rPr>
              <w:t>bullying</w:t>
            </w:r>
            <w:proofErr w:type="spellEnd"/>
            <w:r w:rsidRPr="000C6E07">
              <w:rPr>
                <w:rFonts w:eastAsia="Times New Roman" w:cs="Times New Roman"/>
                <w:sz w:val="20"/>
                <w:szCs w:val="20"/>
                <w:lang w:val="ro-RO"/>
                <w14:ligatures w14:val="none"/>
              </w:rPr>
              <w:t>, consum de alcool și droguri</w:t>
            </w:r>
            <w:r>
              <w:rPr>
                <w:rFonts w:eastAsia="Times New Roman" w:cs="Times New Roman"/>
                <w:sz w:val="20"/>
                <w:szCs w:val="20"/>
                <w:lang w:val="ro-RO"/>
                <w14:ligatures w14:val="none"/>
              </w:rPr>
              <w:t>,</w:t>
            </w:r>
            <w:r w:rsidRPr="000C6E07">
              <w:rPr>
                <w:rFonts w:eastAsia="Times New Roman" w:cs="Times New Roman"/>
                <w:sz w:val="20"/>
                <w:szCs w:val="20"/>
                <w:lang w:val="ro-RO"/>
                <w14:ligatures w14:val="none"/>
              </w:rPr>
              <w:t xml:space="preserve"> adicții, integrarea cazurilor în analizele de risc). </w:t>
            </w:r>
          </w:p>
        </w:tc>
        <w:tc>
          <w:tcPr>
            <w:tcW w:w="1026" w:type="dxa"/>
            <w:tcBorders>
              <w:top w:val="nil"/>
              <w:left w:val="nil"/>
              <w:bottom w:val="single" w:sz="4" w:space="0" w:color="auto"/>
              <w:right w:val="single" w:sz="4" w:space="0" w:color="auto"/>
            </w:tcBorders>
            <w:vAlign w:val="center"/>
            <w:hideMark/>
          </w:tcPr>
          <w:p w14:paraId="54D1EFA7"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14E3B3E2"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E78B340"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7818965"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8BD02CE" w14:textId="77777777" w:rsidR="005D7A8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r>
              <w:rPr>
                <w:rFonts w:eastAsia="Times New Roman" w:cs="Times New Roman"/>
                <w:sz w:val="20"/>
                <w:szCs w:val="20"/>
                <w:lang w:val="ro-RO"/>
                <w14:ligatures w14:val="none"/>
              </w:rPr>
              <w:t>3502</w:t>
            </w:r>
          </w:p>
          <w:p w14:paraId="5234AC26" w14:textId="77777777" w:rsidR="005D7A87" w:rsidRDefault="005D7A87" w:rsidP="005D7A87">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88</w:t>
            </w:r>
          </w:p>
          <w:p w14:paraId="11A02B1E" w14:textId="77777777" w:rsidR="005D7A87" w:rsidRDefault="005D7A87" w:rsidP="005D7A87">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90</w:t>
            </w:r>
          </w:p>
          <w:p w14:paraId="3F80DE4E" w14:textId="2ACB3017" w:rsidR="005D7A87" w:rsidRPr="000C6E07" w:rsidRDefault="005D7A87" w:rsidP="005D7A87">
            <w:pPr>
              <w:spacing w:after="0"/>
              <w:jc w:val="center"/>
              <w:rPr>
                <w:rFonts w:eastAsia="Times New Roman" w:cs="Times New Roman"/>
                <w:sz w:val="20"/>
                <w:szCs w:val="20"/>
                <w:lang w:val="ro-RO"/>
                <w14:ligatures w14:val="none"/>
              </w:rPr>
            </w:pPr>
            <w:r>
              <w:rPr>
                <w:rFonts w:eastAsia="Times New Roman" w:cs="Times New Roman"/>
                <w:sz w:val="20"/>
                <w:szCs w:val="20"/>
                <w:lang w:val="ro-RO"/>
                <w14:ligatures w14:val="none"/>
              </w:rPr>
              <w:t>80</w:t>
            </w:r>
          </w:p>
        </w:tc>
        <w:tc>
          <w:tcPr>
            <w:tcW w:w="1000" w:type="dxa"/>
            <w:tcBorders>
              <w:top w:val="nil"/>
              <w:left w:val="nil"/>
              <w:bottom w:val="single" w:sz="4" w:space="0" w:color="auto"/>
              <w:right w:val="single" w:sz="4" w:space="0" w:color="auto"/>
            </w:tcBorders>
            <w:vAlign w:val="center"/>
            <w:hideMark/>
          </w:tcPr>
          <w:p w14:paraId="4DDD1E7E"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6E79E8B"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EB9FB02"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DF64A0"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824335A"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FD2ECD2"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Trimestrul I, 2027</w:t>
            </w:r>
          </w:p>
        </w:tc>
        <w:tc>
          <w:tcPr>
            <w:tcW w:w="1162" w:type="dxa"/>
            <w:tcBorders>
              <w:top w:val="nil"/>
              <w:left w:val="nil"/>
              <w:bottom w:val="single" w:sz="4" w:space="0" w:color="auto"/>
              <w:right w:val="single" w:sz="4" w:space="0" w:color="auto"/>
            </w:tcBorders>
            <w:vAlign w:val="center"/>
            <w:hideMark/>
          </w:tcPr>
          <w:p w14:paraId="69D4080F" w14:textId="77777777" w:rsidR="005D7A87" w:rsidRPr="000C6E07" w:rsidRDefault="005D7A87" w:rsidP="005D7A87">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Ministerul Afacerilor Interne, Ministerul Educației și Cercetării, Ministerul Sănătății, Autoritățile tutelare locale,</w:t>
            </w:r>
          </w:p>
        </w:tc>
      </w:tr>
      <w:tr w:rsidR="005D7A87" w:rsidRPr="000C6E07" w14:paraId="50A9D391" w14:textId="77777777" w:rsidTr="00832FB2">
        <w:trPr>
          <w:trHeight w:val="4541"/>
        </w:trPr>
        <w:tc>
          <w:tcPr>
            <w:tcW w:w="568" w:type="dxa"/>
            <w:tcBorders>
              <w:top w:val="nil"/>
              <w:left w:val="single" w:sz="4" w:space="0" w:color="auto"/>
              <w:bottom w:val="single" w:sz="4" w:space="0" w:color="auto"/>
              <w:right w:val="single" w:sz="4" w:space="0" w:color="auto"/>
            </w:tcBorders>
          </w:tcPr>
          <w:p w14:paraId="192720A8"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single" w:sz="4" w:space="0" w:color="auto"/>
              <w:bottom w:val="single" w:sz="4" w:space="0" w:color="auto"/>
              <w:right w:val="single" w:sz="4" w:space="0" w:color="auto"/>
            </w:tcBorders>
            <w:vAlign w:val="center"/>
          </w:tcPr>
          <w:p w14:paraId="0D1C7C15" w14:textId="77777777" w:rsidR="005D7A87" w:rsidRPr="000C6E07" w:rsidRDefault="005D7A87" w:rsidP="005D7A87">
            <w:pPr>
              <w:spacing w:after="0"/>
              <w:rPr>
                <w:rFonts w:eastAsia="Times New Roman" w:cs="Times New Roman"/>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18D0D88F" w14:textId="57E695C0"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 xml:space="preserve">Program național comun Ministerul Educației și cercetării – Ministerul Afacerilor Interne (IGP) de prevenire a violenței și </w:t>
            </w:r>
            <w:proofErr w:type="spellStart"/>
            <w:r w:rsidRPr="00CB1061">
              <w:rPr>
                <w:rFonts w:eastAsia="Times New Roman" w:cs="Times New Roman"/>
                <w:sz w:val="20"/>
                <w:szCs w:val="20"/>
                <w:lang w:val="ro-RO"/>
                <w14:ligatures w14:val="none"/>
              </w:rPr>
              <w:t>bullying</w:t>
            </w:r>
            <w:proofErr w:type="spellEnd"/>
            <w:r w:rsidRPr="00CB1061">
              <w:rPr>
                <w:rFonts w:eastAsia="Times New Roman" w:cs="Times New Roman"/>
                <w:sz w:val="20"/>
                <w:szCs w:val="20"/>
                <w:lang w:val="ro-RO"/>
                <w14:ligatures w14:val="none"/>
              </w:rPr>
              <w:t>-ului în școli elaborat și implementat</w:t>
            </w:r>
          </w:p>
        </w:tc>
        <w:tc>
          <w:tcPr>
            <w:tcW w:w="1026" w:type="dxa"/>
            <w:tcBorders>
              <w:top w:val="nil"/>
              <w:left w:val="nil"/>
              <w:bottom w:val="single" w:sz="4" w:space="0" w:color="auto"/>
              <w:right w:val="single" w:sz="4" w:space="0" w:color="auto"/>
            </w:tcBorders>
            <w:vAlign w:val="center"/>
          </w:tcPr>
          <w:p w14:paraId="1F109425" w14:textId="387E14EA"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tcPr>
          <w:p w14:paraId="5A101563"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015" w:type="dxa"/>
            <w:tcBorders>
              <w:top w:val="nil"/>
              <w:left w:val="nil"/>
              <w:bottom w:val="single" w:sz="4" w:space="0" w:color="auto"/>
              <w:right w:val="single" w:sz="4" w:space="0" w:color="auto"/>
            </w:tcBorders>
            <w:vAlign w:val="center"/>
          </w:tcPr>
          <w:p w14:paraId="3611532A" w14:textId="77777777" w:rsidR="005D7A87" w:rsidRPr="00CB1061" w:rsidRDefault="005D7A87" w:rsidP="005D7A87">
            <w:pPr>
              <w:spacing w:after="0"/>
              <w:jc w:val="center"/>
              <w:rPr>
                <w:rFonts w:eastAsia="Times New Roman" w:cs="Times New Roman"/>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51B04C79"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0B079341" w14:textId="77777777"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88</w:t>
            </w:r>
          </w:p>
          <w:p w14:paraId="73728C1B" w14:textId="21F864BC"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tcPr>
          <w:p w14:paraId="0C75D2F6"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1F2AD141"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8AA72B2"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DFEE676"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46DC27DD" w14:textId="77777777" w:rsidR="005D7A87" w:rsidRPr="00CB1061" w:rsidRDefault="005D7A87" w:rsidP="005D7A87">
            <w:pPr>
              <w:spacing w:after="0"/>
              <w:jc w:val="center"/>
              <w:rPr>
                <w:rFonts w:eastAsia="Times New Roman" w:cs="Times New Roman"/>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06F231D0" w14:textId="52F4AD02"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Trimestrul II, 2027</w:t>
            </w:r>
          </w:p>
        </w:tc>
        <w:tc>
          <w:tcPr>
            <w:tcW w:w="1162" w:type="dxa"/>
            <w:tcBorders>
              <w:top w:val="nil"/>
              <w:left w:val="nil"/>
              <w:bottom w:val="single" w:sz="4" w:space="0" w:color="auto"/>
              <w:right w:val="single" w:sz="4" w:space="0" w:color="auto"/>
            </w:tcBorders>
            <w:vAlign w:val="center"/>
          </w:tcPr>
          <w:p w14:paraId="2B2951EF" w14:textId="77777777"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Ministerul Educației și Cercetării;</w:t>
            </w:r>
          </w:p>
          <w:p w14:paraId="482DB9FD" w14:textId="7B687076"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Ministerul Afacerilor Interne;</w:t>
            </w:r>
          </w:p>
          <w:p w14:paraId="1D450809" w14:textId="137D2040"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Alianța ONG-urilor Active în domeniul Protecției Sociale a Copilului și Familiei (APSCF);</w:t>
            </w:r>
          </w:p>
          <w:p w14:paraId="72E4BE40" w14:textId="77777777" w:rsidR="005D7A87" w:rsidRPr="00CB1061" w:rsidRDefault="005D7A87" w:rsidP="005D7A87">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CNPAC;</w:t>
            </w:r>
          </w:p>
          <w:p w14:paraId="146DBAF4" w14:textId="36A57EEC" w:rsidR="005D7A87" w:rsidRPr="00CB1061" w:rsidRDefault="005D7A87" w:rsidP="00832FB2">
            <w:pPr>
              <w:spacing w:after="0"/>
              <w:jc w:val="center"/>
              <w:rPr>
                <w:rFonts w:eastAsia="Times New Roman" w:cs="Times New Roman"/>
                <w:sz w:val="20"/>
                <w:szCs w:val="20"/>
                <w:lang w:val="ro-RO"/>
                <w14:ligatures w14:val="none"/>
              </w:rPr>
            </w:pPr>
            <w:r w:rsidRPr="00CB1061">
              <w:rPr>
                <w:rFonts w:eastAsia="Times New Roman" w:cs="Times New Roman"/>
                <w:sz w:val="20"/>
                <w:szCs w:val="20"/>
                <w:lang w:val="ro-RO"/>
                <w14:ligatures w14:val="none"/>
              </w:rPr>
              <w:t>AO „AVE Copiii”</w:t>
            </w:r>
          </w:p>
        </w:tc>
      </w:tr>
      <w:tr w:rsidR="005D7A87" w:rsidRPr="000C6E07" w14:paraId="51CED82F" w14:textId="77777777" w:rsidTr="008252AB">
        <w:trPr>
          <w:trHeight w:val="983"/>
        </w:trPr>
        <w:tc>
          <w:tcPr>
            <w:tcW w:w="568" w:type="dxa"/>
            <w:vMerge w:val="restart"/>
            <w:tcBorders>
              <w:top w:val="nil"/>
              <w:left w:val="single" w:sz="4" w:space="0" w:color="auto"/>
              <w:bottom w:val="single" w:sz="4" w:space="0" w:color="auto"/>
              <w:right w:val="single" w:sz="4" w:space="0" w:color="auto"/>
            </w:tcBorders>
            <w:hideMark/>
          </w:tcPr>
          <w:p w14:paraId="471980A4" w14:textId="1A1049A1"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17C97C1" w14:textId="0CFEF815" w:rsidR="005D7A87" w:rsidRPr="008252AB"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capacităților serviciilor de ordine și securitate publică în interacțiune cu comunitățile de romi</w:t>
            </w:r>
          </w:p>
          <w:p w14:paraId="3868E9D2" w14:textId="0A0922D4"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AECD42D" w14:textId="3AB69AAE" w:rsidR="005D7A87" w:rsidRPr="008252AB"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Mecanism (proceduri, inițiere, suport metodologic) de interacțiune a serviciilor de ordine și securitate publică cu comunitățile de romi aprobat și implementat</w:t>
            </w:r>
          </w:p>
          <w:p w14:paraId="2BDEF9C1" w14:textId="77777777" w:rsidR="005D7A87" w:rsidRPr="000C6E07" w:rsidRDefault="005D7A87" w:rsidP="00CB1061">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24201A2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E976CF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23BCE58"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922" w:type="dxa"/>
            <w:tcBorders>
              <w:top w:val="nil"/>
              <w:left w:val="nil"/>
              <w:bottom w:val="single" w:sz="4" w:space="0" w:color="auto"/>
              <w:right w:val="single" w:sz="4" w:space="0" w:color="auto"/>
            </w:tcBorders>
            <w:vAlign w:val="center"/>
            <w:hideMark/>
          </w:tcPr>
          <w:p w14:paraId="1B67C9A2" w14:textId="63B9176F"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00CB1061" w:rsidRPr="000C6E07">
              <w:rPr>
                <w:rFonts w:eastAsia="Times New Roman" w:cs="Times New Roman"/>
                <w:color w:val="0070C0"/>
                <w:sz w:val="20"/>
                <w:szCs w:val="20"/>
                <w:lang w:val="ro-RO"/>
                <w14:ligatures w14:val="none"/>
              </w:rPr>
              <w:t>189,1</w:t>
            </w:r>
          </w:p>
        </w:tc>
        <w:tc>
          <w:tcPr>
            <w:tcW w:w="1182" w:type="dxa"/>
            <w:tcBorders>
              <w:top w:val="nil"/>
              <w:left w:val="nil"/>
              <w:bottom w:val="single" w:sz="4" w:space="0" w:color="auto"/>
              <w:right w:val="single" w:sz="4" w:space="0" w:color="auto"/>
            </w:tcBorders>
            <w:vAlign w:val="center"/>
            <w:hideMark/>
          </w:tcPr>
          <w:p w14:paraId="6A5DA53B" w14:textId="77777777" w:rsidR="005D7A87" w:rsidRPr="00CB1061" w:rsidRDefault="005D7A87"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3502</w:t>
            </w:r>
          </w:p>
          <w:p w14:paraId="5CB122BF" w14:textId="77777777" w:rsidR="005D7A87" w:rsidRPr="00CB1061" w:rsidRDefault="005D7A87"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2402</w:t>
            </w:r>
          </w:p>
          <w:p w14:paraId="77AF0026" w14:textId="1071480E"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0FA5A9C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6E96B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A982A5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A9D3939"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CA935F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287508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4C28BC5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404A300C" w14:textId="77777777" w:rsidTr="004356CF">
        <w:trPr>
          <w:trHeight w:val="2080"/>
        </w:trPr>
        <w:tc>
          <w:tcPr>
            <w:tcW w:w="568" w:type="dxa"/>
            <w:vMerge/>
            <w:tcBorders>
              <w:top w:val="nil"/>
              <w:left w:val="single" w:sz="4" w:space="0" w:color="auto"/>
              <w:bottom w:val="single" w:sz="4" w:space="0" w:color="auto"/>
              <w:right w:val="single" w:sz="4" w:space="0" w:color="auto"/>
            </w:tcBorders>
            <w:hideMark/>
          </w:tcPr>
          <w:p w14:paraId="074856D9"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D387927"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A35A89C" w14:textId="77777777" w:rsidR="005D7A87" w:rsidRPr="008252AB" w:rsidRDefault="005D7A87"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Activități anuale de informare și sensibilizare privind accesarea serviciilor de ordine și siguranță publică, adaptate nevoilor specifice ale comunităților de romi</w:t>
            </w:r>
            <w:r w:rsidRPr="008252AB">
              <w:rPr>
                <w:rFonts w:eastAsia="Times New Roman" w:cs="Times New Roman"/>
                <w:color w:val="000000"/>
                <w:sz w:val="20"/>
                <w:szCs w:val="20"/>
                <w:lang w:val="ro-RO"/>
                <w14:ligatures w14:val="none"/>
              </w:rPr>
              <w:t xml:space="preserve"> </w:t>
            </w:r>
          </w:p>
          <w:p w14:paraId="7A8CC174" w14:textId="77777777" w:rsidR="005D7A87" w:rsidRPr="000C6E07" w:rsidRDefault="005D7A87" w:rsidP="005D7A87">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04E67BC0"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1.500,0</w:t>
            </w:r>
          </w:p>
        </w:tc>
        <w:tc>
          <w:tcPr>
            <w:tcW w:w="1100" w:type="dxa"/>
            <w:tcBorders>
              <w:top w:val="nil"/>
              <w:left w:val="nil"/>
              <w:bottom w:val="single" w:sz="4" w:space="0" w:color="auto"/>
              <w:right w:val="single" w:sz="4" w:space="0" w:color="auto"/>
            </w:tcBorders>
            <w:vAlign w:val="center"/>
            <w:hideMark/>
          </w:tcPr>
          <w:p w14:paraId="19262AE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1.500,0</w:t>
            </w:r>
          </w:p>
        </w:tc>
        <w:tc>
          <w:tcPr>
            <w:tcW w:w="1015" w:type="dxa"/>
            <w:tcBorders>
              <w:top w:val="nil"/>
              <w:left w:val="nil"/>
              <w:bottom w:val="single" w:sz="4" w:space="0" w:color="auto"/>
              <w:right w:val="single" w:sz="4" w:space="0" w:color="auto"/>
            </w:tcBorders>
            <w:vAlign w:val="center"/>
            <w:hideMark/>
          </w:tcPr>
          <w:p w14:paraId="6849861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7A9D87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B2113B0" w14:textId="77777777"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79E29C08" w14:textId="1C10CFCF"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2402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588C556"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6B073368"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0E4BFB58"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13F61B70"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63876191"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82" w:type="dxa"/>
            <w:tcBorders>
              <w:top w:val="nil"/>
              <w:left w:val="nil"/>
              <w:bottom w:val="single" w:sz="4" w:space="0" w:color="auto"/>
              <w:right w:val="single" w:sz="4" w:space="0" w:color="auto"/>
            </w:tcBorders>
            <w:vAlign w:val="center"/>
            <w:hideMark/>
          </w:tcPr>
          <w:p w14:paraId="5BB6D54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69B760EA" w14:textId="4EFCB905" w:rsidR="005D7A8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Ministerul Afacerilor Interne;</w:t>
            </w:r>
          </w:p>
          <w:p w14:paraId="10204029" w14:textId="5D6E40C3"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Centrul Național al Romilor; Coaliția „Vocea romilor”; mediatori comunitari</w:t>
            </w:r>
          </w:p>
        </w:tc>
      </w:tr>
      <w:tr w:rsidR="00CB1061" w:rsidRPr="000C6E07" w14:paraId="0C35F40B" w14:textId="77777777" w:rsidTr="00F0634C">
        <w:trPr>
          <w:trHeight w:val="2080"/>
        </w:trPr>
        <w:tc>
          <w:tcPr>
            <w:tcW w:w="568" w:type="dxa"/>
            <w:vMerge w:val="restart"/>
            <w:tcBorders>
              <w:top w:val="nil"/>
              <w:left w:val="single" w:sz="4" w:space="0" w:color="auto"/>
              <w:right w:val="single" w:sz="4" w:space="0" w:color="auto"/>
            </w:tcBorders>
            <w:hideMark/>
          </w:tcPr>
          <w:p w14:paraId="79221D50" w14:textId="2420891E" w:rsidR="00CB1061" w:rsidRPr="000C6E07" w:rsidRDefault="00CB1061"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2CCB87EA" w14:textId="77777777" w:rsidR="00CB1061" w:rsidRPr="000C6E07" w:rsidRDefault="00CB1061"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Dezvoltarea cadrului normativ și operațional pentru prevenirea, definirea și interzicerea profilării rasiale</w:t>
            </w:r>
          </w:p>
        </w:tc>
        <w:tc>
          <w:tcPr>
            <w:tcW w:w="1843" w:type="dxa"/>
            <w:tcBorders>
              <w:top w:val="nil"/>
              <w:left w:val="nil"/>
              <w:bottom w:val="single" w:sz="4" w:space="0" w:color="auto"/>
              <w:right w:val="single" w:sz="4" w:space="0" w:color="auto"/>
            </w:tcBorders>
            <w:vAlign w:val="center"/>
            <w:hideMark/>
          </w:tcPr>
          <w:p w14:paraId="1729ED9C" w14:textId="716AED52" w:rsidR="00CB1061" w:rsidRPr="000C6E07"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Acte normative</w:t>
            </w:r>
            <w:r w:rsidRPr="004A757F">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privind definirea și interzicerea profilării rasiale de către funcționarii responsabili de aplicarea legii aprobat</w:t>
            </w:r>
          </w:p>
        </w:tc>
        <w:tc>
          <w:tcPr>
            <w:tcW w:w="1026" w:type="dxa"/>
            <w:tcBorders>
              <w:top w:val="nil"/>
              <w:left w:val="nil"/>
              <w:bottom w:val="single" w:sz="4" w:space="0" w:color="auto"/>
              <w:right w:val="single" w:sz="4" w:space="0" w:color="auto"/>
            </w:tcBorders>
            <w:vAlign w:val="center"/>
            <w:hideMark/>
          </w:tcPr>
          <w:p w14:paraId="3E8D25BB" w14:textId="77777777" w:rsidR="00CB1061" w:rsidRPr="000C6E07" w:rsidRDefault="00CB1061"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47ED4948" w14:textId="77777777" w:rsidR="00CB1061" w:rsidRPr="000C6E07" w:rsidRDefault="00CB1061"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75211A88"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203C946"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64D2B44" w14:textId="3B96FB6F" w:rsidR="00CB1061" w:rsidRPr="000C6E07" w:rsidRDefault="00CB1061"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3501</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81A951"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E496B8F" w14:textId="77777777" w:rsidR="00CB1061" w:rsidRPr="000C6E07" w:rsidRDefault="00CB1061"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31B00C57"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D632B5"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9642012"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12F35F8"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1B36465C" w14:textId="77777777" w:rsidR="00CB1061"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524CB8FE" w14:textId="77777777" w:rsidTr="00F0634C">
        <w:trPr>
          <w:trHeight w:val="2080"/>
        </w:trPr>
        <w:tc>
          <w:tcPr>
            <w:tcW w:w="568" w:type="dxa"/>
            <w:vMerge/>
            <w:tcBorders>
              <w:left w:val="single" w:sz="4" w:space="0" w:color="auto"/>
              <w:bottom w:val="single" w:sz="4" w:space="0" w:color="auto"/>
              <w:right w:val="single" w:sz="4" w:space="0" w:color="auto"/>
            </w:tcBorders>
          </w:tcPr>
          <w:p w14:paraId="1A5A770A" w14:textId="77777777" w:rsidR="00CB1061" w:rsidRPr="000C6E07" w:rsidRDefault="00CB1061" w:rsidP="00CB1061">
            <w:pPr>
              <w:pStyle w:val="af9"/>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tcPr>
          <w:p w14:paraId="1B958471" w14:textId="77777777" w:rsidR="00CB1061" w:rsidRPr="000C6E07" w:rsidRDefault="00CB1061"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16AC4382" w14:textId="77777777" w:rsidR="00CB1061" w:rsidRPr="00CB1061" w:rsidRDefault="00CB1061" w:rsidP="005D7A87">
            <w:pPr>
              <w:spacing w:after="0"/>
              <w:jc w:val="center"/>
              <w:rPr>
                <w:rFonts w:eastAsia="Times New Roman" w:cs="Times New Roman"/>
                <w:color w:val="000000"/>
                <w:sz w:val="20"/>
                <w:szCs w:val="20"/>
                <w:lang w:val="ro-RO"/>
                <w14:ligatures w14:val="none"/>
              </w:rPr>
            </w:pPr>
          </w:p>
          <w:p w14:paraId="69A68CF8" w14:textId="77777777" w:rsidR="00CB1061"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xml:space="preserve">Cursurile de formare inițială a funcționarilor responsabili de aplicarea legii, axate pe prevenirea profilării rasiale și a altor practici discriminatorii, organizate </w:t>
            </w:r>
          </w:p>
          <w:p w14:paraId="5206934E" w14:textId="77777777" w:rsidR="00CB1061" w:rsidRPr="00CB1061" w:rsidRDefault="00CB1061" w:rsidP="005D7A87">
            <w:pPr>
              <w:spacing w:after="0"/>
              <w:jc w:val="center"/>
              <w:rPr>
                <w:rFonts w:eastAsia="Times New Roman" w:cs="Times New Roman"/>
                <w:strike/>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tcPr>
          <w:p w14:paraId="614DF046" w14:textId="2B021496" w:rsidR="00CB1061" w:rsidRPr="00CB1061" w:rsidRDefault="00CB1061" w:rsidP="005D7A87">
            <w:pPr>
              <w:spacing w:after="0"/>
              <w:jc w:val="center"/>
              <w:rPr>
                <w:rFonts w:eastAsia="Times New Roman" w:cs="Times New Roman"/>
                <w:color w:val="0070C0"/>
                <w:sz w:val="20"/>
                <w:szCs w:val="20"/>
                <w:lang w:val="ro-RO"/>
                <w14:ligatures w14:val="none"/>
              </w:rPr>
            </w:pPr>
            <w:r w:rsidRPr="00CB1061">
              <w:rPr>
                <w:rFonts w:eastAsia="Times New Roman" w:cs="Times New Roman"/>
                <w:color w:val="0070C0"/>
                <w:sz w:val="20"/>
                <w:szCs w:val="20"/>
                <w:lang w:val="ro-RO"/>
                <w14:ligatures w14:val="none"/>
              </w:rPr>
              <w:t>5.040,0</w:t>
            </w:r>
          </w:p>
        </w:tc>
        <w:tc>
          <w:tcPr>
            <w:tcW w:w="1100" w:type="dxa"/>
            <w:tcBorders>
              <w:top w:val="nil"/>
              <w:left w:val="nil"/>
              <w:bottom w:val="single" w:sz="4" w:space="0" w:color="auto"/>
              <w:right w:val="single" w:sz="4" w:space="0" w:color="auto"/>
            </w:tcBorders>
            <w:vAlign w:val="center"/>
          </w:tcPr>
          <w:p w14:paraId="06079E93" w14:textId="6CF83BA1" w:rsidR="00CB1061" w:rsidRPr="00CB1061" w:rsidRDefault="00CB1061" w:rsidP="005D7A87">
            <w:pPr>
              <w:spacing w:after="0"/>
              <w:jc w:val="center"/>
              <w:rPr>
                <w:rFonts w:eastAsia="Times New Roman" w:cs="Times New Roman"/>
                <w:color w:val="0070C0"/>
                <w:sz w:val="20"/>
                <w:szCs w:val="20"/>
                <w:lang w:val="ro-RO"/>
                <w14:ligatures w14:val="none"/>
              </w:rPr>
            </w:pPr>
            <w:r w:rsidRPr="00CB1061">
              <w:rPr>
                <w:rFonts w:eastAsia="Times New Roman" w:cs="Times New Roman"/>
                <w:color w:val="0070C0"/>
                <w:sz w:val="20"/>
                <w:szCs w:val="20"/>
                <w:lang w:val="ro-RO"/>
                <w14:ligatures w14:val="none"/>
              </w:rPr>
              <w:t>5.040,0</w:t>
            </w:r>
          </w:p>
        </w:tc>
        <w:tc>
          <w:tcPr>
            <w:tcW w:w="1015" w:type="dxa"/>
            <w:tcBorders>
              <w:top w:val="nil"/>
              <w:left w:val="nil"/>
              <w:bottom w:val="single" w:sz="4" w:space="0" w:color="auto"/>
              <w:right w:val="single" w:sz="4" w:space="0" w:color="auto"/>
            </w:tcBorders>
            <w:vAlign w:val="center"/>
          </w:tcPr>
          <w:p w14:paraId="6D5B2B84" w14:textId="77777777" w:rsidR="00CB1061" w:rsidRPr="00CB1061" w:rsidRDefault="00CB1061" w:rsidP="005D7A87">
            <w:pPr>
              <w:spacing w:after="0"/>
              <w:jc w:val="center"/>
              <w:rPr>
                <w:rFonts w:eastAsia="Times New Roman" w:cs="Times New Roman"/>
                <w:color w:val="000000"/>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5DA1570B" w14:textId="77777777" w:rsidR="00CB1061" w:rsidRPr="00CB1061" w:rsidRDefault="00CB1061" w:rsidP="005D7A87">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74A6FAEB" w14:textId="23B96A82" w:rsidR="00CB1061"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35</w:t>
            </w:r>
            <w:r w:rsidR="008432F1">
              <w:rPr>
                <w:rFonts w:eastAsia="Times New Roman" w:cs="Times New Roman"/>
                <w:color w:val="000000"/>
                <w:sz w:val="20"/>
                <w:szCs w:val="20"/>
                <w:lang w:val="ro-RO"/>
                <w14:ligatures w14:val="none"/>
              </w:rPr>
              <w:t>01</w:t>
            </w:r>
          </w:p>
          <w:p w14:paraId="11953703" w14:textId="75AC2C01" w:rsidR="00CB1061"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0403</w:t>
            </w:r>
          </w:p>
        </w:tc>
        <w:tc>
          <w:tcPr>
            <w:tcW w:w="1000" w:type="dxa"/>
            <w:tcBorders>
              <w:top w:val="nil"/>
              <w:left w:val="nil"/>
              <w:bottom w:val="single" w:sz="4" w:space="0" w:color="auto"/>
              <w:right w:val="single" w:sz="4" w:space="0" w:color="auto"/>
            </w:tcBorders>
            <w:vAlign w:val="center"/>
          </w:tcPr>
          <w:p w14:paraId="246C24CA" w14:textId="63737DB0" w:rsidR="00CB1061"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70C0"/>
                <w:sz w:val="20"/>
                <w:szCs w:val="20"/>
                <w:lang w:val="ro-RO"/>
                <w14:ligatures w14:val="none"/>
              </w:rPr>
              <w:t>5.040,0</w:t>
            </w:r>
          </w:p>
        </w:tc>
        <w:tc>
          <w:tcPr>
            <w:tcW w:w="1000" w:type="dxa"/>
            <w:tcBorders>
              <w:top w:val="nil"/>
              <w:left w:val="nil"/>
              <w:bottom w:val="single" w:sz="4" w:space="0" w:color="auto"/>
              <w:right w:val="single" w:sz="4" w:space="0" w:color="auto"/>
            </w:tcBorders>
            <w:vAlign w:val="center"/>
          </w:tcPr>
          <w:p w14:paraId="63CC23C9" w14:textId="77777777" w:rsidR="00CB1061" w:rsidRPr="00CB1061" w:rsidRDefault="00CB1061" w:rsidP="005D7A87">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2985BE06" w14:textId="77777777" w:rsidR="00CB1061" w:rsidRPr="00CB1061" w:rsidRDefault="00CB1061" w:rsidP="005D7A87">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AD7A428" w14:textId="77777777" w:rsidR="00CB1061" w:rsidRPr="00CB1061" w:rsidRDefault="00CB1061" w:rsidP="005D7A87">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DC139F2" w14:textId="77777777" w:rsidR="00CB1061" w:rsidRPr="00CB1061" w:rsidRDefault="00CB1061" w:rsidP="005D7A87">
            <w:pPr>
              <w:spacing w:after="0"/>
              <w:jc w:val="center"/>
              <w:rPr>
                <w:rFonts w:eastAsia="Times New Roman" w:cs="Times New Roman"/>
                <w:color w:val="00000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48D8C138" w14:textId="36B1FFD7" w:rsidR="00CB1061"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tcPr>
          <w:p w14:paraId="3E79660C" w14:textId="725C49D4" w:rsidR="00CB1061"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Ministerul Afacerilor Interne</w:t>
            </w:r>
          </w:p>
        </w:tc>
      </w:tr>
      <w:tr w:rsidR="005D7A87" w:rsidRPr="000C6E07" w14:paraId="0FF63819" w14:textId="77777777" w:rsidTr="00552B0B">
        <w:trPr>
          <w:trHeight w:val="6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1234D5AE" w14:textId="39A4043E" w:rsidR="005D7A87" w:rsidRPr="000C6E07" w:rsidRDefault="005D7A87" w:rsidP="005D7A87">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4. </w:t>
            </w:r>
            <w:r w:rsidRPr="00463FA0">
              <w:rPr>
                <w:b/>
                <w:bCs/>
                <w:color w:val="000000"/>
                <w:sz w:val="20"/>
                <w:szCs w:val="20"/>
                <w:lang w:val="ro-RO" w:eastAsia="ru-RU"/>
              </w:rPr>
              <w:t>Capacitatea îmbunătățită de reacționare rapidă a serviciilor de ordine și securitate publică până în anul 2030</w:t>
            </w:r>
          </w:p>
        </w:tc>
      </w:tr>
      <w:tr w:rsidR="005D7A87" w:rsidRPr="000C6E07" w14:paraId="1C0131D6"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0CDFFB74" w14:textId="54CDED9C"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7BE4020"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capacităților dispeceratelor în gestionarea apelurilor populației</w:t>
            </w:r>
          </w:p>
        </w:tc>
        <w:tc>
          <w:tcPr>
            <w:tcW w:w="1843" w:type="dxa"/>
            <w:tcBorders>
              <w:top w:val="nil"/>
              <w:left w:val="nil"/>
              <w:bottom w:val="single" w:sz="4" w:space="0" w:color="auto"/>
              <w:right w:val="single" w:sz="4" w:space="0" w:color="auto"/>
            </w:tcBorders>
            <w:vAlign w:val="center"/>
            <w:hideMark/>
          </w:tcPr>
          <w:p w14:paraId="28AEBAD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dispeceri dotați conform normativelor</w:t>
            </w:r>
          </w:p>
        </w:tc>
        <w:tc>
          <w:tcPr>
            <w:tcW w:w="1026" w:type="dxa"/>
            <w:tcBorders>
              <w:top w:val="nil"/>
              <w:left w:val="nil"/>
              <w:bottom w:val="single" w:sz="4" w:space="0" w:color="auto"/>
              <w:right w:val="single" w:sz="4" w:space="0" w:color="auto"/>
            </w:tcBorders>
            <w:vAlign w:val="center"/>
            <w:hideMark/>
          </w:tcPr>
          <w:p w14:paraId="5242417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2.900,2</w:t>
            </w:r>
          </w:p>
        </w:tc>
        <w:tc>
          <w:tcPr>
            <w:tcW w:w="1100" w:type="dxa"/>
            <w:tcBorders>
              <w:top w:val="nil"/>
              <w:left w:val="nil"/>
              <w:bottom w:val="single" w:sz="4" w:space="0" w:color="auto"/>
              <w:right w:val="single" w:sz="4" w:space="0" w:color="auto"/>
            </w:tcBorders>
            <w:vAlign w:val="center"/>
            <w:hideMark/>
          </w:tcPr>
          <w:p w14:paraId="52D7368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5536B8D" w14:textId="68A6855D" w:rsidR="005D7A87" w:rsidRPr="000C6E07" w:rsidRDefault="00CB1061"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2.900,2</w:t>
            </w:r>
            <w:r w:rsidR="005D7A87"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C51D4E5"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2.900,2</w:t>
            </w:r>
          </w:p>
        </w:tc>
        <w:tc>
          <w:tcPr>
            <w:tcW w:w="1182" w:type="dxa"/>
            <w:tcBorders>
              <w:top w:val="nil"/>
              <w:left w:val="nil"/>
              <w:bottom w:val="single" w:sz="4" w:space="0" w:color="auto"/>
              <w:right w:val="single" w:sz="4" w:space="0" w:color="auto"/>
            </w:tcBorders>
            <w:vAlign w:val="center"/>
            <w:hideMark/>
          </w:tcPr>
          <w:p w14:paraId="3A61126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390C08F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C15FE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89B94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2.900,2</w:t>
            </w:r>
          </w:p>
        </w:tc>
        <w:tc>
          <w:tcPr>
            <w:tcW w:w="1000" w:type="dxa"/>
            <w:tcBorders>
              <w:top w:val="nil"/>
              <w:left w:val="nil"/>
              <w:bottom w:val="single" w:sz="4" w:space="0" w:color="auto"/>
              <w:right w:val="single" w:sz="4" w:space="0" w:color="auto"/>
            </w:tcBorders>
            <w:vAlign w:val="center"/>
            <w:hideMark/>
          </w:tcPr>
          <w:p w14:paraId="24968D4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EB6892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BB8650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6C08786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5D7A87" w:rsidRPr="000C6E07" w14:paraId="319E0551"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74E1ADCA"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0D5106D"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8E3EAC1" w14:textId="22C42A1E" w:rsidR="005D7A87" w:rsidRPr="000C6E07" w:rsidRDefault="005D7A87"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Cel puțin 80% din dispeceri instruiți în domeniul comunicării cu populația, în special în situații de criză</w:t>
            </w:r>
          </w:p>
        </w:tc>
        <w:tc>
          <w:tcPr>
            <w:tcW w:w="1026" w:type="dxa"/>
            <w:tcBorders>
              <w:top w:val="nil"/>
              <w:left w:val="nil"/>
              <w:bottom w:val="single" w:sz="4" w:space="0" w:color="auto"/>
              <w:right w:val="single" w:sz="4" w:space="0" w:color="auto"/>
            </w:tcBorders>
            <w:vAlign w:val="center"/>
            <w:hideMark/>
          </w:tcPr>
          <w:p w14:paraId="3AB1E10E"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117,6</w:t>
            </w:r>
          </w:p>
        </w:tc>
        <w:tc>
          <w:tcPr>
            <w:tcW w:w="1100" w:type="dxa"/>
            <w:tcBorders>
              <w:top w:val="nil"/>
              <w:left w:val="nil"/>
              <w:bottom w:val="single" w:sz="4" w:space="0" w:color="auto"/>
              <w:right w:val="single" w:sz="4" w:space="0" w:color="auto"/>
            </w:tcBorders>
            <w:vAlign w:val="center"/>
            <w:hideMark/>
          </w:tcPr>
          <w:p w14:paraId="5513A1FD" w14:textId="66112C29"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00CB1061" w:rsidRPr="00CB1061">
              <w:rPr>
                <w:rFonts w:eastAsia="Times New Roman" w:cs="Times New Roman"/>
                <w:color w:val="0070C0"/>
                <w:sz w:val="20"/>
                <w:szCs w:val="20"/>
                <w:lang w:val="ro-RO"/>
                <w14:ligatures w14:val="none"/>
              </w:rPr>
              <w:t>117,6</w:t>
            </w:r>
          </w:p>
        </w:tc>
        <w:tc>
          <w:tcPr>
            <w:tcW w:w="1015" w:type="dxa"/>
            <w:tcBorders>
              <w:top w:val="nil"/>
              <w:left w:val="nil"/>
              <w:bottom w:val="single" w:sz="4" w:space="0" w:color="auto"/>
              <w:right w:val="single" w:sz="4" w:space="0" w:color="auto"/>
            </w:tcBorders>
            <w:vAlign w:val="center"/>
            <w:hideMark/>
          </w:tcPr>
          <w:p w14:paraId="6D3A40D2" w14:textId="329054C7" w:rsidR="005D7A87" w:rsidRPr="000C6E07" w:rsidRDefault="005D7A87" w:rsidP="005D7A87">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6ED5B74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EE10F0F" w14:textId="77777777" w:rsidR="00CB1061" w:rsidRDefault="00CB1061"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p>
          <w:p w14:paraId="17E58D98" w14:textId="05E08018" w:rsidR="005D7A87" w:rsidRPr="000C6E07" w:rsidRDefault="00CB1061"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3504</w:t>
            </w:r>
            <w:r w:rsidR="005D7A87"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C75AF7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DA8C9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117,6</w:t>
            </w:r>
          </w:p>
        </w:tc>
        <w:tc>
          <w:tcPr>
            <w:tcW w:w="1000" w:type="dxa"/>
            <w:tcBorders>
              <w:top w:val="nil"/>
              <w:left w:val="nil"/>
              <w:bottom w:val="single" w:sz="4" w:space="0" w:color="auto"/>
              <w:right w:val="single" w:sz="4" w:space="0" w:color="auto"/>
            </w:tcBorders>
            <w:vAlign w:val="center"/>
            <w:hideMark/>
          </w:tcPr>
          <w:p w14:paraId="404FE3C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E142B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3C9845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4E7660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1C422BF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5D7A87" w:rsidRPr="000C6E07" w14:paraId="3D2F6C30"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163EB2B2"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E5A07F7"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EF07C8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Instruiri comune pentru cel puțin 70% din dispeceri și operatori organizate anual</w:t>
            </w:r>
          </w:p>
        </w:tc>
        <w:tc>
          <w:tcPr>
            <w:tcW w:w="1026" w:type="dxa"/>
            <w:tcBorders>
              <w:top w:val="nil"/>
              <w:left w:val="nil"/>
              <w:bottom w:val="single" w:sz="4" w:space="0" w:color="auto"/>
              <w:right w:val="single" w:sz="4" w:space="0" w:color="auto"/>
            </w:tcBorders>
            <w:vAlign w:val="center"/>
            <w:hideMark/>
          </w:tcPr>
          <w:p w14:paraId="4AE51863"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178,5</w:t>
            </w:r>
          </w:p>
        </w:tc>
        <w:tc>
          <w:tcPr>
            <w:tcW w:w="1100" w:type="dxa"/>
            <w:tcBorders>
              <w:top w:val="nil"/>
              <w:left w:val="nil"/>
              <w:bottom w:val="single" w:sz="4" w:space="0" w:color="auto"/>
              <w:right w:val="single" w:sz="4" w:space="0" w:color="auto"/>
            </w:tcBorders>
            <w:vAlign w:val="center"/>
            <w:hideMark/>
          </w:tcPr>
          <w:p w14:paraId="51E5584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178,5</w:t>
            </w:r>
          </w:p>
        </w:tc>
        <w:tc>
          <w:tcPr>
            <w:tcW w:w="1015" w:type="dxa"/>
            <w:tcBorders>
              <w:top w:val="nil"/>
              <w:left w:val="nil"/>
              <w:bottom w:val="single" w:sz="4" w:space="0" w:color="auto"/>
              <w:right w:val="single" w:sz="4" w:space="0" w:color="auto"/>
            </w:tcBorders>
            <w:vAlign w:val="center"/>
            <w:hideMark/>
          </w:tcPr>
          <w:p w14:paraId="66791647"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E58844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752ECA7" w14:textId="7446B8BE" w:rsidR="005D7A8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w:t>
            </w:r>
            <w:r>
              <w:rPr>
                <w:rFonts w:eastAsia="Times New Roman" w:cs="Times New Roman"/>
                <w:color w:val="000000"/>
                <w:sz w:val="20"/>
                <w:szCs w:val="20"/>
                <w:lang w:val="ro-RO"/>
                <w14:ligatures w14:val="none"/>
              </w:rPr>
              <w:t>2</w:t>
            </w:r>
          </w:p>
          <w:p w14:paraId="34D658A7" w14:textId="0BF80ECE"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E13CA7F"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59,5</w:t>
            </w:r>
          </w:p>
        </w:tc>
        <w:tc>
          <w:tcPr>
            <w:tcW w:w="1000" w:type="dxa"/>
            <w:tcBorders>
              <w:top w:val="nil"/>
              <w:left w:val="nil"/>
              <w:bottom w:val="single" w:sz="4" w:space="0" w:color="auto"/>
              <w:right w:val="single" w:sz="4" w:space="0" w:color="auto"/>
            </w:tcBorders>
            <w:vAlign w:val="center"/>
            <w:hideMark/>
          </w:tcPr>
          <w:p w14:paraId="784C3D1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59,5</w:t>
            </w:r>
          </w:p>
        </w:tc>
        <w:tc>
          <w:tcPr>
            <w:tcW w:w="1000" w:type="dxa"/>
            <w:tcBorders>
              <w:top w:val="nil"/>
              <w:left w:val="nil"/>
              <w:bottom w:val="single" w:sz="4" w:space="0" w:color="auto"/>
              <w:right w:val="single" w:sz="4" w:space="0" w:color="auto"/>
            </w:tcBorders>
            <w:vAlign w:val="center"/>
            <w:hideMark/>
          </w:tcPr>
          <w:p w14:paraId="1FD02B64"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59,5</w:t>
            </w:r>
          </w:p>
        </w:tc>
        <w:tc>
          <w:tcPr>
            <w:tcW w:w="1000" w:type="dxa"/>
            <w:tcBorders>
              <w:top w:val="nil"/>
              <w:left w:val="nil"/>
              <w:bottom w:val="single" w:sz="4" w:space="0" w:color="auto"/>
              <w:right w:val="single" w:sz="4" w:space="0" w:color="auto"/>
            </w:tcBorders>
            <w:vAlign w:val="center"/>
            <w:hideMark/>
          </w:tcPr>
          <w:p w14:paraId="101D706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46CCC9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CF0D1A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2029</w:t>
            </w:r>
          </w:p>
        </w:tc>
        <w:tc>
          <w:tcPr>
            <w:tcW w:w="1162" w:type="dxa"/>
            <w:tcBorders>
              <w:top w:val="nil"/>
              <w:left w:val="nil"/>
              <w:bottom w:val="single" w:sz="4" w:space="0" w:color="auto"/>
              <w:right w:val="single" w:sz="4" w:space="0" w:color="auto"/>
            </w:tcBorders>
            <w:vAlign w:val="center"/>
            <w:hideMark/>
          </w:tcPr>
          <w:p w14:paraId="6DA7107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5D7A87" w:rsidRPr="000C6E07" w14:paraId="5053D5C9"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5F5647E0" w14:textId="4AB6C0E5"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C103F6F"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Operaționalizarea principiului „Cea mai apropiată patrulă” la nivel național</w:t>
            </w:r>
          </w:p>
        </w:tc>
        <w:tc>
          <w:tcPr>
            <w:tcW w:w="1843" w:type="dxa"/>
            <w:tcBorders>
              <w:top w:val="nil"/>
              <w:left w:val="nil"/>
              <w:bottom w:val="single" w:sz="4" w:space="0" w:color="auto"/>
              <w:right w:val="single" w:sz="4" w:space="0" w:color="auto"/>
            </w:tcBorders>
            <w:vAlign w:val="center"/>
            <w:hideMark/>
          </w:tcPr>
          <w:p w14:paraId="665E3DB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echipele de patrulare și reacționare rapidă operaționalizate</w:t>
            </w:r>
          </w:p>
        </w:tc>
        <w:tc>
          <w:tcPr>
            <w:tcW w:w="1026" w:type="dxa"/>
            <w:tcBorders>
              <w:top w:val="nil"/>
              <w:left w:val="nil"/>
              <w:bottom w:val="single" w:sz="4" w:space="0" w:color="auto"/>
              <w:right w:val="single" w:sz="4" w:space="0" w:color="auto"/>
            </w:tcBorders>
            <w:vAlign w:val="center"/>
            <w:hideMark/>
          </w:tcPr>
          <w:p w14:paraId="4873999C"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152.082,0</w:t>
            </w:r>
          </w:p>
        </w:tc>
        <w:tc>
          <w:tcPr>
            <w:tcW w:w="1100" w:type="dxa"/>
            <w:tcBorders>
              <w:top w:val="nil"/>
              <w:left w:val="nil"/>
              <w:bottom w:val="single" w:sz="4" w:space="0" w:color="auto"/>
              <w:right w:val="single" w:sz="4" w:space="0" w:color="auto"/>
            </w:tcBorders>
            <w:vAlign w:val="center"/>
            <w:hideMark/>
          </w:tcPr>
          <w:p w14:paraId="15D8CB9E" w14:textId="568EA270" w:rsidR="005D7A87" w:rsidRPr="00CB1061" w:rsidRDefault="00CB1061" w:rsidP="005D7A87">
            <w:pPr>
              <w:spacing w:after="0"/>
              <w:jc w:val="center"/>
              <w:rPr>
                <w:rFonts w:eastAsia="Times New Roman" w:cs="Times New Roman"/>
                <w:color w:val="000000"/>
                <w:sz w:val="20"/>
                <w:szCs w:val="20"/>
                <w:lang w:val="ro-RO"/>
                <w14:ligatures w14:val="none"/>
              </w:rPr>
            </w:pPr>
            <w:r w:rsidRPr="00CB1061">
              <w:rPr>
                <w:rFonts w:eastAsia="Times New Roman" w:cs="Times New Roman"/>
                <w:color w:val="0070C0"/>
                <w:sz w:val="20"/>
                <w:szCs w:val="20"/>
                <w:lang w:val="ro-RO"/>
                <w14:ligatures w14:val="none"/>
              </w:rPr>
              <w:t>152.082,0</w:t>
            </w:r>
            <w:r w:rsidR="005D7A87" w:rsidRPr="00CB1061">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39082CFD" w14:textId="38FA9361" w:rsidR="005D7A87" w:rsidRPr="000C6E07" w:rsidRDefault="005D7A87" w:rsidP="005D7A87">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9B2AF6B"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700569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307AE7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8BCAE2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971B40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76.041,0</w:t>
            </w:r>
          </w:p>
        </w:tc>
        <w:tc>
          <w:tcPr>
            <w:tcW w:w="1000" w:type="dxa"/>
            <w:tcBorders>
              <w:top w:val="nil"/>
              <w:left w:val="nil"/>
              <w:bottom w:val="single" w:sz="4" w:space="0" w:color="auto"/>
              <w:right w:val="single" w:sz="4" w:space="0" w:color="auto"/>
            </w:tcBorders>
            <w:vAlign w:val="center"/>
            <w:hideMark/>
          </w:tcPr>
          <w:p w14:paraId="0A13802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76.041,0</w:t>
            </w:r>
          </w:p>
        </w:tc>
        <w:tc>
          <w:tcPr>
            <w:tcW w:w="1000" w:type="dxa"/>
            <w:tcBorders>
              <w:top w:val="nil"/>
              <w:left w:val="nil"/>
              <w:bottom w:val="single" w:sz="4" w:space="0" w:color="auto"/>
              <w:right w:val="single" w:sz="4" w:space="0" w:color="auto"/>
            </w:tcBorders>
            <w:vAlign w:val="center"/>
            <w:hideMark/>
          </w:tcPr>
          <w:p w14:paraId="2928205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36CE6E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03E3AC4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5D7A87" w:rsidRPr="000C6E07" w14:paraId="5FA8C8AF" w14:textId="77777777" w:rsidTr="004356CF">
        <w:trPr>
          <w:trHeight w:val="1560"/>
        </w:trPr>
        <w:tc>
          <w:tcPr>
            <w:tcW w:w="568" w:type="dxa"/>
            <w:vMerge/>
            <w:tcBorders>
              <w:top w:val="nil"/>
              <w:left w:val="single" w:sz="4" w:space="0" w:color="auto"/>
              <w:bottom w:val="single" w:sz="4" w:space="0" w:color="auto"/>
              <w:right w:val="single" w:sz="4" w:space="0" w:color="auto"/>
            </w:tcBorders>
            <w:hideMark/>
          </w:tcPr>
          <w:p w14:paraId="3B3D6540"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D620AF0"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54A65F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Ponderea pe sexe în cadrul echipelor de patrulare și reacționare rapidă reflectă ponderea din instituție</w:t>
            </w:r>
          </w:p>
        </w:tc>
        <w:tc>
          <w:tcPr>
            <w:tcW w:w="1026" w:type="dxa"/>
            <w:tcBorders>
              <w:top w:val="nil"/>
              <w:left w:val="nil"/>
              <w:bottom w:val="single" w:sz="4" w:space="0" w:color="auto"/>
              <w:right w:val="single" w:sz="4" w:space="0" w:color="auto"/>
            </w:tcBorders>
            <w:vAlign w:val="center"/>
            <w:hideMark/>
          </w:tcPr>
          <w:p w14:paraId="42377BB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65920F6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F656F7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171A63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0021CC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4C16590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0633D5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A35D301"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DECAC60"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B9D9EA3"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8DBC328"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21DABD9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Asociația Femeilor din Poliție</w:t>
            </w:r>
          </w:p>
        </w:tc>
      </w:tr>
      <w:tr w:rsidR="005D7A87" w:rsidRPr="000C6E07" w14:paraId="086A6A00"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6927D88F" w14:textId="5856383F"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38ABD0DF" w14:textId="77777777" w:rsidR="005D7A87" w:rsidRPr="000C6E07" w:rsidRDefault="005D7A87" w:rsidP="005D7A87">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Optimizarea răspunsului la apelurile de urgență </w:t>
            </w:r>
          </w:p>
        </w:tc>
        <w:tc>
          <w:tcPr>
            <w:tcW w:w="1843" w:type="dxa"/>
            <w:tcBorders>
              <w:top w:val="nil"/>
              <w:left w:val="nil"/>
              <w:bottom w:val="single" w:sz="4" w:space="0" w:color="auto"/>
              <w:right w:val="single" w:sz="4" w:space="0" w:color="auto"/>
            </w:tcBorders>
            <w:vAlign w:val="center"/>
            <w:hideMark/>
          </w:tcPr>
          <w:p w14:paraId="3278DC9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Clasificator al apelurilor de urgență aprobat (inclusiv privind gestionarea apelurilor fără conținut).</w:t>
            </w:r>
          </w:p>
        </w:tc>
        <w:tc>
          <w:tcPr>
            <w:tcW w:w="1026" w:type="dxa"/>
            <w:tcBorders>
              <w:top w:val="nil"/>
              <w:left w:val="nil"/>
              <w:bottom w:val="single" w:sz="4" w:space="0" w:color="auto"/>
              <w:right w:val="single" w:sz="4" w:space="0" w:color="auto"/>
            </w:tcBorders>
            <w:vAlign w:val="center"/>
            <w:hideMark/>
          </w:tcPr>
          <w:p w14:paraId="61B2938B"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AD338C7"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3435F8B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59471AF"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ADA062F" w14:textId="45C64F16"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92C4172"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51D77C5E"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2CB06B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CCF81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5655E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E299C8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tcBorders>
              <w:top w:val="nil"/>
              <w:left w:val="nil"/>
              <w:bottom w:val="single" w:sz="4" w:space="0" w:color="auto"/>
              <w:right w:val="single" w:sz="4" w:space="0" w:color="auto"/>
            </w:tcBorders>
            <w:vAlign w:val="center"/>
            <w:hideMark/>
          </w:tcPr>
          <w:p w14:paraId="4D67210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5D7A87" w:rsidRPr="000C6E07" w14:paraId="1F7ED834"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757149C7" w14:textId="77777777" w:rsidR="005D7A87" w:rsidRPr="000C6E07" w:rsidRDefault="005D7A87" w:rsidP="005D7A87">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62857F3" w14:textId="77777777" w:rsidR="005D7A87" w:rsidRPr="000C6E07" w:rsidRDefault="005D7A87" w:rsidP="005D7A87">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4C2B41C"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Metodologie pentru elaborarea planurilor de intervenție în baza clasificatorului apelurilor de urgență, aprobată</w:t>
            </w:r>
          </w:p>
        </w:tc>
        <w:tc>
          <w:tcPr>
            <w:tcW w:w="1026" w:type="dxa"/>
            <w:tcBorders>
              <w:top w:val="nil"/>
              <w:left w:val="nil"/>
              <w:bottom w:val="single" w:sz="4" w:space="0" w:color="auto"/>
              <w:right w:val="single" w:sz="4" w:space="0" w:color="auto"/>
            </w:tcBorders>
            <w:vAlign w:val="center"/>
            <w:hideMark/>
          </w:tcPr>
          <w:p w14:paraId="5C845DCD"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5D0F7430"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34E932CD"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14EA26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0B8877A" w14:textId="3A3B536C" w:rsidR="005D7A87" w:rsidRPr="000C6E07" w:rsidRDefault="005D7A87" w:rsidP="005D7A87">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72325984"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0A10315" w14:textId="77777777" w:rsidR="005D7A87" w:rsidRPr="000C6E07" w:rsidRDefault="005D7A87" w:rsidP="005D7A87">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0C000649"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7FDE732"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9B70B5"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03FC03A"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2027</w:t>
            </w:r>
          </w:p>
        </w:tc>
        <w:tc>
          <w:tcPr>
            <w:tcW w:w="1162" w:type="dxa"/>
            <w:tcBorders>
              <w:top w:val="nil"/>
              <w:left w:val="nil"/>
              <w:bottom w:val="single" w:sz="4" w:space="0" w:color="auto"/>
              <w:right w:val="single" w:sz="4" w:space="0" w:color="auto"/>
            </w:tcBorders>
            <w:vAlign w:val="center"/>
            <w:hideMark/>
          </w:tcPr>
          <w:p w14:paraId="28BE16D6" w14:textId="77777777" w:rsidR="005D7A87" w:rsidRPr="000C6E07" w:rsidRDefault="005D7A87" w:rsidP="005D7A87">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2323448C"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6038F730"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46FE46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399EF7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Sistem informațional automatizat pentru echipajele de intervenție integrat cu SIA 112 dezvoltat</w:t>
            </w:r>
          </w:p>
        </w:tc>
        <w:tc>
          <w:tcPr>
            <w:tcW w:w="1026" w:type="dxa"/>
            <w:tcBorders>
              <w:top w:val="nil"/>
              <w:left w:val="nil"/>
              <w:bottom w:val="single" w:sz="4" w:space="0" w:color="auto"/>
              <w:right w:val="single" w:sz="4" w:space="0" w:color="auto"/>
            </w:tcBorders>
            <w:vAlign w:val="center"/>
            <w:hideMark/>
          </w:tcPr>
          <w:p w14:paraId="5384EDA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772,8</w:t>
            </w:r>
          </w:p>
        </w:tc>
        <w:tc>
          <w:tcPr>
            <w:tcW w:w="1100" w:type="dxa"/>
            <w:tcBorders>
              <w:top w:val="nil"/>
              <w:left w:val="nil"/>
              <w:bottom w:val="single" w:sz="4" w:space="0" w:color="auto"/>
              <w:right w:val="single" w:sz="4" w:space="0" w:color="auto"/>
            </w:tcBorders>
            <w:vAlign w:val="center"/>
            <w:hideMark/>
          </w:tcPr>
          <w:p w14:paraId="2D9E8480" w14:textId="42EB32C0" w:rsidR="00CB1061" w:rsidRPr="000C6E07"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70C0"/>
                <w:sz w:val="20"/>
                <w:szCs w:val="20"/>
                <w:lang w:val="ro-RO"/>
                <w14:ligatures w14:val="none"/>
              </w:rPr>
              <w:t>772,8</w:t>
            </w:r>
          </w:p>
        </w:tc>
        <w:tc>
          <w:tcPr>
            <w:tcW w:w="1015" w:type="dxa"/>
            <w:tcBorders>
              <w:top w:val="nil"/>
              <w:left w:val="nil"/>
              <w:bottom w:val="single" w:sz="4" w:space="0" w:color="auto"/>
              <w:right w:val="single" w:sz="4" w:space="0" w:color="auto"/>
            </w:tcBorders>
            <w:vAlign w:val="center"/>
            <w:hideMark/>
          </w:tcPr>
          <w:p w14:paraId="354DF200" w14:textId="5406CBD6" w:rsidR="00CB1061" w:rsidRPr="000C6E07" w:rsidRDefault="00CB1061" w:rsidP="00CB1061">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hideMark/>
          </w:tcPr>
          <w:p w14:paraId="0A49B92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94FD345" w14:textId="18E6B828" w:rsidR="00CB1061" w:rsidRPr="00CB1061" w:rsidRDefault="00CB1061" w:rsidP="00CB1061">
            <w:pPr>
              <w:spacing w:after="0"/>
              <w:jc w:val="center"/>
              <w:rPr>
                <w:rFonts w:eastAsia="Times New Roman" w:cs="Times New Roman"/>
                <w:color w:val="000000"/>
                <w:sz w:val="20"/>
                <w:szCs w:val="20"/>
                <w:highlight w:val="yellow"/>
                <w:lang w:val="ro-RO"/>
                <w14:ligatures w14:val="none"/>
              </w:rPr>
            </w:pPr>
            <w:r w:rsidRPr="00CB1061">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668E55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772,8</w:t>
            </w:r>
          </w:p>
        </w:tc>
        <w:tc>
          <w:tcPr>
            <w:tcW w:w="1000" w:type="dxa"/>
            <w:tcBorders>
              <w:top w:val="nil"/>
              <w:left w:val="nil"/>
              <w:bottom w:val="single" w:sz="4" w:space="0" w:color="auto"/>
              <w:right w:val="single" w:sz="4" w:space="0" w:color="auto"/>
            </w:tcBorders>
            <w:vAlign w:val="center"/>
            <w:hideMark/>
          </w:tcPr>
          <w:p w14:paraId="513239C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EE0647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17AC76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E41822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22AFF0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2686F9A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53E93229"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1B096509"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275CA4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BDD2477" w14:textId="3828AA92"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xml:space="preserve">Campanii comune de sensibilizare a populației cu privire la apelurile de urgență și </w:t>
            </w:r>
            <w:proofErr w:type="spellStart"/>
            <w:r w:rsidRPr="00CB1061">
              <w:rPr>
                <w:rFonts w:eastAsia="Times New Roman" w:cs="Times New Roman"/>
                <w:color w:val="000000"/>
                <w:sz w:val="20"/>
                <w:szCs w:val="20"/>
                <w:lang w:val="ro-RO"/>
                <w14:ligatures w14:val="none"/>
              </w:rPr>
              <w:t>prioritizarea</w:t>
            </w:r>
            <w:proofErr w:type="spellEnd"/>
            <w:r w:rsidRPr="00CB1061">
              <w:rPr>
                <w:rFonts w:eastAsia="Times New Roman" w:cs="Times New Roman"/>
                <w:color w:val="000000"/>
                <w:sz w:val="20"/>
                <w:szCs w:val="20"/>
                <w:lang w:val="ro-RO"/>
                <w14:ligatures w14:val="none"/>
              </w:rPr>
              <w:t xml:space="preserve"> situațiilor de urgență, cu implicarea serviciilor specializate de urgență, organizate</w:t>
            </w:r>
          </w:p>
        </w:tc>
        <w:tc>
          <w:tcPr>
            <w:tcW w:w="1026" w:type="dxa"/>
            <w:tcBorders>
              <w:top w:val="nil"/>
              <w:left w:val="nil"/>
              <w:bottom w:val="single" w:sz="4" w:space="0" w:color="auto"/>
              <w:right w:val="single" w:sz="4" w:space="0" w:color="auto"/>
            </w:tcBorders>
            <w:vAlign w:val="center"/>
            <w:hideMark/>
          </w:tcPr>
          <w:p w14:paraId="3DCC9E9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100" w:type="dxa"/>
            <w:tcBorders>
              <w:top w:val="nil"/>
              <w:left w:val="nil"/>
              <w:bottom w:val="single" w:sz="4" w:space="0" w:color="auto"/>
              <w:right w:val="single" w:sz="4" w:space="0" w:color="auto"/>
            </w:tcBorders>
            <w:vAlign w:val="center"/>
            <w:hideMark/>
          </w:tcPr>
          <w:p w14:paraId="6DEC7A3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015" w:type="dxa"/>
            <w:tcBorders>
              <w:top w:val="nil"/>
              <w:left w:val="nil"/>
              <w:bottom w:val="single" w:sz="4" w:space="0" w:color="auto"/>
              <w:right w:val="single" w:sz="4" w:space="0" w:color="auto"/>
            </w:tcBorders>
            <w:vAlign w:val="center"/>
            <w:hideMark/>
          </w:tcPr>
          <w:p w14:paraId="24188F4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D3C885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647D96E" w14:textId="41DB1C19"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3D6D510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5C9CA4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400,0</w:t>
            </w:r>
          </w:p>
        </w:tc>
        <w:tc>
          <w:tcPr>
            <w:tcW w:w="1000" w:type="dxa"/>
            <w:tcBorders>
              <w:top w:val="nil"/>
              <w:left w:val="nil"/>
              <w:bottom w:val="single" w:sz="4" w:space="0" w:color="auto"/>
              <w:right w:val="single" w:sz="4" w:space="0" w:color="auto"/>
            </w:tcBorders>
            <w:vAlign w:val="center"/>
            <w:hideMark/>
          </w:tcPr>
          <w:p w14:paraId="496154F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6046AE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86197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D8B427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7280D7F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3B9E9228"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3436213E"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BA612E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D2FF76B" w14:textId="3C998A71"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Cadru normativ modificat pentru încadrarea conceptului de </w:t>
            </w:r>
            <w:proofErr w:type="spellStart"/>
            <w:r w:rsidRPr="000C6E07">
              <w:rPr>
                <w:rFonts w:eastAsia="Times New Roman" w:cs="Times New Roman"/>
                <w:color w:val="000000"/>
                <w:sz w:val="20"/>
                <w:szCs w:val="20"/>
                <w:lang w:val="ro-RO"/>
                <w14:ligatures w14:val="none"/>
              </w:rPr>
              <w:t>prioritizare</w:t>
            </w:r>
            <w:proofErr w:type="spellEnd"/>
            <w:r w:rsidRPr="000C6E07">
              <w:rPr>
                <w:rFonts w:eastAsia="Times New Roman" w:cs="Times New Roman"/>
                <w:color w:val="000000"/>
                <w:sz w:val="20"/>
                <w:szCs w:val="20"/>
                <w:lang w:val="ro-RO"/>
                <w14:ligatures w14:val="none"/>
              </w:rPr>
              <w:t xml:space="preserve"> a apelurilor de urgență</w:t>
            </w:r>
          </w:p>
        </w:tc>
        <w:tc>
          <w:tcPr>
            <w:tcW w:w="1026" w:type="dxa"/>
            <w:tcBorders>
              <w:top w:val="nil"/>
              <w:left w:val="nil"/>
              <w:bottom w:val="single" w:sz="4" w:space="0" w:color="auto"/>
              <w:right w:val="single" w:sz="4" w:space="0" w:color="auto"/>
            </w:tcBorders>
            <w:vAlign w:val="center"/>
            <w:hideMark/>
          </w:tcPr>
          <w:p w14:paraId="443392F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099B134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1D3F986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BC6B32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0D3FC86" w14:textId="41153F15"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5F8B3EE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F7F8E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7315BAC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3ABF32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69C37A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20FA74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2D91560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26517976"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4D59CED0"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5FE9F1"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F9E7700" w14:textId="670A1C04"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Analiză de fezabilitate privind încadrarea IGC și IGPF în gestionarea apelurilor de urgență, realizată</w:t>
            </w:r>
          </w:p>
        </w:tc>
        <w:tc>
          <w:tcPr>
            <w:tcW w:w="1026" w:type="dxa"/>
            <w:tcBorders>
              <w:top w:val="nil"/>
              <w:left w:val="nil"/>
              <w:bottom w:val="single" w:sz="4" w:space="0" w:color="auto"/>
              <w:right w:val="single" w:sz="4" w:space="0" w:color="auto"/>
            </w:tcBorders>
            <w:vAlign w:val="center"/>
            <w:hideMark/>
          </w:tcPr>
          <w:p w14:paraId="3D481A89" w14:textId="77777777" w:rsidR="00CB1061" w:rsidRPr="00CB1061" w:rsidRDefault="00CB1061" w:rsidP="00CB1061">
            <w:pPr>
              <w:spacing w:after="0"/>
              <w:jc w:val="center"/>
              <w:rPr>
                <w:rFonts w:eastAsia="Times New Roman" w:cs="Times New Roman"/>
                <w:color w:val="0070C0"/>
                <w:sz w:val="20"/>
                <w:szCs w:val="20"/>
                <w:lang w:val="ro-RO"/>
                <w14:ligatures w14:val="none"/>
              </w:rPr>
            </w:pPr>
            <w:r w:rsidRPr="00CB1061">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122EC3F4" w14:textId="77777777" w:rsidR="00CB1061" w:rsidRPr="00CB1061" w:rsidRDefault="00CB1061" w:rsidP="00CB1061">
            <w:pPr>
              <w:spacing w:after="0"/>
              <w:jc w:val="center"/>
              <w:rPr>
                <w:rFonts w:eastAsia="Times New Roman" w:cs="Times New Roman"/>
                <w:color w:val="0070C0"/>
                <w:sz w:val="20"/>
                <w:szCs w:val="20"/>
                <w:lang w:val="ro-RO"/>
                <w14:ligatures w14:val="none"/>
              </w:rPr>
            </w:pPr>
            <w:r w:rsidRPr="00CB1061">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27201460" w14:textId="77777777"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4BA6B36" w14:textId="77777777"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EAFC345" w14:textId="23389B25"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47E300F0" w14:textId="6233E10B"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r w:rsidRPr="00CB1061">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6AA7CCFA" w14:textId="7B4D50FD" w:rsidR="00CB1061" w:rsidRPr="00CB1061" w:rsidRDefault="00CB1061" w:rsidP="00CB1061">
            <w:pPr>
              <w:spacing w:after="0"/>
              <w:jc w:val="center"/>
              <w:rPr>
                <w:rFonts w:eastAsia="Times New Roman" w:cs="Times New Roman"/>
                <w:color w:val="0070C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426F9233" w14:textId="77777777"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D488046" w14:textId="77777777"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16DDDC9" w14:textId="77777777"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EE2587D" w14:textId="35034CDA"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6C697F9C" w14:textId="77777777" w:rsidR="00CB1061" w:rsidRPr="00CB1061" w:rsidRDefault="00CB1061" w:rsidP="00CB1061">
            <w:pPr>
              <w:spacing w:after="0"/>
              <w:jc w:val="center"/>
              <w:rPr>
                <w:rFonts w:eastAsia="Times New Roman" w:cs="Times New Roman"/>
                <w:color w:val="000000"/>
                <w:sz w:val="20"/>
                <w:szCs w:val="20"/>
                <w:lang w:val="ro-RO"/>
                <w14:ligatures w14:val="none"/>
              </w:rPr>
            </w:pPr>
            <w:r w:rsidRPr="00CB1061">
              <w:rPr>
                <w:rFonts w:eastAsia="Times New Roman" w:cs="Times New Roman"/>
                <w:color w:val="000000"/>
                <w:sz w:val="20"/>
                <w:szCs w:val="20"/>
                <w:lang w:val="ro-RO"/>
                <w14:ligatures w14:val="none"/>
              </w:rPr>
              <w:t xml:space="preserve">Ministerul Afacerilor Interne </w:t>
            </w:r>
          </w:p>
        </w:tc>
      </w:tr>
      <w:tr w:rsidR="00CB1061" w:rsidRPr="000C6E07" w14:paraId="708D2D31"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1EAD6C07" w14:textId="6C3FFE60"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7E15F8F1"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conlucrării dintre serviciile de ordine publică cu alte structurile de forță și servicii publice  de intervenție primară</w:t>
            </w:r>
          </w:p>
        </w:tc>
        <w:tc>
          <w:tcPr>
            <w:tcW w:w="1843" w:type="dxa"/>
            <w:tcBorders>
              <w:top w:val="nil"/>
              <w:left w:val="nil"/>
              <w:bottom w:val="single" w:sz="4" w:space="0" w:color="auto"/>
              <w:right w:val="single" w:sz="4" w:space="0" w:color="auto"/>
            </w:tcBorders>
            <w:vAlign w:val="center"/>
            <w:hideMark/>
          </w:tcPr>
          <w:p w14:paraId="2BFC42C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Acorduri privind intervenția comună pe cazuri de competență aprobate</w:t>
            </w:r>
          </w:p>
        </w:tc>
        <w:tc>
          <w:tcPr>
            <w:tcW w:w="1026" w:type="dxa"/>
            <w:tcBorders>
              <w:top w:val="nil"/>
              <w:left w:val="nil"/>
              <w:bottom w:val="single" w:sz="4" w:space="0" w:color="auto"/>
              <w:right w:val="single" w:sz="4" w:space="0" w:color="auto"/>
            </w:tcBorders>
            <w:vAlign w:val="center"/>
            <w:hideMark/>
          </w:tcPr>
          <w:p w14:paraId="079B285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6668174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250FD8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81B8AA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3A3C5C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Bugetul autorităților implicate</w:t>
            </w:r>
          </w:p>
        </w:tc>
        <w:tc>
          <w:tcPr>
            <w:tcW w:w="1000" w:type="dxa"/>
            <w:tcBorders>
              <w:top w:val="nil"/>
              <w:left w:val="nil"/>
              <w:bottom w:val="single" w:sz="4" w:space="0" w:color="auto"/>
              <w:right w:val="single" w:sz="4" w:space="0" w:color="auto"/>
            </w:tcBorders>
            <w:vAlign w:val="center"/>
            <w:hideMark/>
          </w:tcPr>
          <w:p w14:paraId="0CE6F5E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3736E0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E50488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8FC0C6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875D58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B8DF97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vMerge w:val="restart"/>
            <w:tcBorders>
              <w:top w:val="nil"/>
              <w:left w:val="single" w:sz="4" w:space="0" w:color="auto"/>
              <w:bottom w:val="single" w:sz="4" w:space="0" w:color="000000"/>
              <w:right w:val="single" w:sz="4" w:space="0" w:color="auto"/>
            </w:tcBorders>
            <w:vAlign w:val="center"/>
            <w:hideMark/>
          </w:tcPr>
          <w:p w14:paraId="70A7CDC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Ministerul Justiției; Ministerul Apărării; Ministerul Mediului; Serviciul de Informații și Securitate; Serviciul de Protecție și Pază de Stat; Centrul Național Anticorupție</w:t>
            </w:r>
          </w:p>
        </w:tc>
      </w:tr>
      <w:tr w:rsidR="00CB1061" w:rsidRPr="000C6E07" w14:paraId="67ACA6D7" w14:textId="77777777" w:rsidTr="004356CF">
        <w:trPr>
          <w:trHeight w:val="1820"/>
        </w:trPr>
        <w:tc>
          <w:tcPr>
            <w:tcW w:w="568" w:type="dxa"/>
            <w:vMerge/>
            <w:tcBorders>
              <w:top w:val="nil"/>
              <w:left w:val="single" w:sz="4" w:space="0" w:color="auto"/>
              <w:bottom w:val="single" w:sz="4" w:space="0" w:color="auto"/>
              <w:right w:val="single" w:sz="4" w:space="0" w:color="auto"/>
            </w:tcBorders>
            <w:hideMark/>
          </w:tcPr>
          <w:p w14:paraId="730BA71C"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116D62F"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4238A0B" w14:textId="0F071186"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Exerciții comune pentru sinergia răspunsului serviciilor de ordine publică și altor servicii publice de intervenție primară și structuri de forță</w:t>
            </w:r>
          </w:p>
        </w:tc>
        <w:tc>
          <w:tcPr>
            <w:tcW w:w="1026" w:type="dxa"/>
            <w:tcBorders>
              <w:top w:val="nil"/>
              <w:left w:val="nil"/>
              <w:bottom w:val="single" w:sz="4" w:space="0" w:color="auto"/>
              <w:right w:val="single" w:sz="4" w:space="0" w:color="auto"/>
            </w:tcBorders>
            <w:vAlign w:val="center"/>
            <w:hideMark/>
          </w:tcPr>
          <w:p w14:paraId="6273679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280,0</w:t>
            </w:r>
          </w:p>
        </w:tc>
        <w:tc>
          <w:tcPr>
            <w:tcW w:w="1100" w:type="dxa"/>
            <w:tcBorders>
              <w:top w:val="nil"/>
              <w:left w:val="nil"/>
              <w:bottom w:val="single" w:sz="4" w:space="0" w:color="auto"/>
              <w:right w:val="single" w:sz="4" w:space="0" w:color="auto"/>
            </w:tcBorders>
            <w:vAlign w:val="center"/>
            <w:hideMark/>
          </w:tcPr>
          <w:p w14:paraId="005AE4E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280,0</w:t>
            </w:r>
          </w:p>
        </w:tc>
        <w:tc>
          <w:tcPr>
            <w:tcW w:w="1015" w:type="dxa"/>
            <w:tcBorders>
              <w:top w:val="nil"/>
              <w:left w:val="nil"/>
              <w:bottom w:val="single" w:sz="4" w:space="0" w:color="auto"/>
              <w:right w:val="single" w:sz="4" w:space="0" w:color="auto"/>
            </w:tcBorders>
            <w:vAlign w:val="center"/>
            <w:hideMark/>
          </w:tcPr>
          <w:p w14:paraId="3A0C36D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1A1273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ACF9B4C" w14:textId="6D9A224D"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0000"/>
                <w:sz w:val="20"/>
                <w:szCs w:val="20"/>
                <w:lang w:val="ro-RO"/>
                <w14:ligatures w14:val="none"/>
              </w:rPr>
              <w:t>3502</w:t>
            </w:r>
          </w:p>
          <w:p w14:paraId="6097EA34" w14:textId="16FDA620"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40</w:t>
            </w:r>
          </w:p>
          <w:p w14:paraId="4F02BF3C" w14:textId="413D6FFB"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31</w:t>
            </w:r>
          </w:p>
          <w:p w14:paraId="36625471" w14:textId="57E89880"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70</w:t>
            </w:r>
          </w:p>
          <w:p w14:paraId="5CB89BCB" w14:textId="24E1347E"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36</w:t>
            </w:r>
          </w:p>
          <w:p w14:paraId="1E6AE916" w14:textId="6EA7793F"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067CC4F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9DF4A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5BF07C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140,0</w:t>
            </w:r>
          </w:p>
        </w:tc>
        <w:tc>
          <w:tcPr>
            <w:tcW w:w="1000" w:type="dxa"/>
            <w:tcBorders>
              <w:top w:val="nil"/>
              <w:left w:val="nil"/>
              <w:bottom w:val="single" w:sz="4" w:space="0" w:color="auto"/>
              <w:right w:val="single" w:sz="4" w:space="0" w:color="auto"/>
            </w:tcBorders>
            <w:vAlign w:val="center"/>
            <w:hideMark/>
          </w:tcPr>
          <w:p w14:paraId="3C9AA84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43661D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140,0</w:t>
            </w:r>
          </w:p>
        </w:tc>
        <w:tc>
          <w:tcPr>
            <w:tcW w:w="1082" w:type="dxa"/>
            <w:tcBorders>
              <w:top w:val="nil"/>
              <w:left w:val="nil"/>
              <w:bottom w:val="single" w:sz="4" w:space="0" w:color="auto"/>
              <w:right w:val="single" w:sz="4" w:space="0" w:color="auto"/>
            </w:tcBorders>
            <w:vAlign w:val="center"/>
            <w:hideMark/>
          </w:tcPr>
          <w:p w14:paraId="0553675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6BB05B54"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5DC1F7FD" w14:textId="77777777" w:rsidTr="009D1079">
        <w:trPr>
          <w:trHeight w:val="3265"/>
        </w:trPr>
        <w:tc>
          <w:tcPr>
            <w:tcW w:w="568" w:type="dxa"/>
            <w:tcBorders>
              <w:top w:val="nil"/>
              <w:left w:val="single" w:sz="4" w:space="0" w:color="auto"/>
              <w:bottom w:val="single" w:sz="4" w:space="0" w:color="auto"/>
              <w:right w:val="single" w:sz="4" w:space="0" w:color="auto"/>
            </w:tcBorders>
            <w:hideMark/>
          </w:tcPr>
          <w:p w14:paraId="658973B9" w14:textId="50C6CD49"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65297671" w14:textId="151DC156" w:rsidR="00CB1061" w:rsidRPr="000C6E07" w:rsidRDefault="00CB1061" w:rsidP="00CB1061">
            <w:pPr>
              <w:spacing w:after="0"/>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E</w:t>
            </w:r>
            <w:r w:rsidRPr="000C6E07">
              <w:rPr>
                <w:rFonts w:eastAsia="Times New Roman" w:cs="Times New Roman"/>
                <w:color w:val="000000"/>
                <w:sz w:val="20"/>
                <w:szCs w:val="20"/>
                <w:lang w:val="ro-RO"/>
                <w14:ligatures w14:val="none"/>
              </w:rPr>
              <w:t>valu</w:t>
            </w:r>
            <w:r>
              <w:rPr>
                <w:rFonts w:eastAsia="Times New Roman" w:cs="Times New Roman"/>
                <w:color w:val="000000"/>
                <w:sz w:val="20"/>
                <w:szCs w:val="20"/>
                <w:lang w:val="ro-RO"/>
                <w14:ligatures w14:val="none"/>
              </w:rPr>
              <w:t>area</w:t>
            </w:r>
            <w:r w:rsidRPr="000C6E07">
              <w:rPr>
                <w:rFonts w:eastAsia="Times New Roman" w:cs="Times New Roman"/>
                <w:color w:val="000000"/>
                <w:sz w:val="20"/>
                <w:szCs w:val="20"/>
                <w:lang w:val="ro-RO"/>
                <w14:ligatures w14:val="none"/>
              </w:rPr>
              <w:t xml:space="preserve"> funcțiilor necesare pentru crearea EPRO prin prisma proceselor de regionalizare, reorganizarea unor servicii, digitalizare, revizuirea și redistribuirea atribuțiilor</w:t>
            </w:r>
          </w:p>
        </w:tc>
        <w:tc>
          <w:tcPr>
            <w:tcW w:w="1843" w:type="dxa"/>
            <w:tcBorders>
              <w:top w:val="nil"/>
              <w:left w:val="nil"/>
              <w:bottom w:val="single" w:sz="4" w:space="0" w:color="auto"/>
              <w:right w:val="single" w:sz="4" w:space="0" w:color="auto"/>
            </w:tcBorders>
            <w:vAlign w:val="center"/>
            <w:hideMark/>
          </w:tcPr>
          <w:p w14:paraId="02B1BF05" w14:textId="1F815960"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Evaluarea realizată;</w:t>
            </w:r>
            <w:r w:rsidRPr="000C6E07">
              <w:rPr>
                <w:rFonts w:eastAsia="Times New Roman" w:cs="Times New Roman"/>
                <w:color w:val="000000"/>
                <w:sz w:val="20"/>
                <w:szCs w:val="20"/>
                <w:lang w:val="ro-RO"/>
                <w14:ligatures w14:val="none"/>
              </w:rPr>
              <w:br/>
            </w:r>
            <w:r w:rsidRPr="000C6E07">
              <w:rPr>
                <w:rFonts w:eastAsia="Times New Roman" w:cs="Times New Roman"/>
                <w:color w:val="000000"/>
                <w:sz w:val="20"/>
                <w:szCs w:val="20"/>
                <w:lang w:val="ro-RO"/>
                <w14:ligatures w14:val="none"/>
              </w:rPr>
              <w:br/>
            </w:r>
            <w:r>
              <w:rPr>
                <w:rFonts w:eastAsia="Times New Roman" w:cs="Times New Roman"/>
                <w:color w:val="000000"/>
                <w:sz w:val="20"/>
                <w:szCs w:val="20"/>
                <w:lang w:val="ro-RO"/>
                <w14:ligatures w14:val="none"/>
              </w:rPr>
              <w:t>F</w:t>
            </w:r>
            <w:r w:rsidRPr="000C6E07">
              <w:rPr>
                <w:rFonts w:eastAsia="Times New Roman" w:cs="Times New Roman"/>
                <w:color w:val="000000"/>
                <w:sz w:val="20"/>
                <w:szCs w:val="20"/>
                <w:lang w:val="ro-RO"/>
                <w14:ligatures w14:val="none"/>
              </w:rPr>
              <w:t>uncții identificate</w:t>
            </w:r>
          </w:p>
        </w:tc>
        <w:tc>
          <w:tcPr>
            <w:tcW w:w="1026" w:type="dxa"/>
            <w:tcBorders>
              <w:top w:val="nil"/>
              <w:left w:val="nil"/>
              <w:bottom w:val="single" w:sz="4" w:space="0" w:color="auto"/>
              <w:right w:val="single" w:sz="4" w:space="0" w:color="auto"/>
            </w:tcBorders>
            <w:vAlign w:val="center"/>
            <w:hideMark/>
          </w:tcPr>
          <w:p w14:paraId="77F9E0DB" w14:textId="7671D82B" w:rsidR="00CB1061" w:rsidRPr="000C6E07" w:rsidRDefault="00CB1061" w:rsidP="00CB1061">
            <w:pPr>
              <w:spacing w:after="0"/>
              <w:jc w:val="center"/>
              <w:rPr>
                <w:rFonts w:eastAsia="Times New Roman" w:cs="Times New Roman"/>
                <w:color w:val="0070C0"/>
                <w:sz w:val="20"/>
                <w:szCs w:val="20"/>
                <w:lang w:val="ro-RO"/>
                <w14:ligatures w14:val="none"/>
              </w:rPr>
            </w:pPr>
            <w:r>
              <w:rPr>
                <w:color w:val="0070C0"/>
                <w:sz w:val="20"/>
                <w:szCs w:val="20"/>
              </w:rPr>
              <w:t>189,1</w:t>
            </w:r>
          </w:p>
        </w:tc>
        <w:tc>
          <w:tcPr>
            <w:tcW w:w="1100" w:type="dxa"/>
            <w:tcBorders>
              <w:top w:val="nil"/>
              <w:left w:val="nil"/>
              <w:bottom w:val="single" w:sz="4" w:space="0" w:color="auto"/>
              <w:right w:val="single" w:sz="4" w:space="0" w:color="auto"/>
            </w:tcBorders>
            <w:vAlign w:val="center"/>
            <w:hideMark/>
          </w:tcPr>
          <w:p w14:paraId="48341AAF" w14:textId="05958F95" w:rsidR="00CB1061" w:rsidRPr="000C6E07" w:rsidRDefault="00CB1061" w:rsidP="00CB1061">
            <w:pPr>
              <w:spacing w:after="0"/>
              <w:jc w:val="center"/>
              <w:rPr>
                <w:rFonts w:eastAsia="Times New Roman" w:cs="Times New Roman"/>
                <w:color w:val="0070C0"/>
                <w:sz w:val="20"/>
                <w:szCs w:val="20"/>
                <w:lang w:val="ro-RO"/>
                <w14:ligatures w14:val="none"/>
              </w:rPr>
            </w:pPr>
            <w:r>
              <w:rPr>
                <w:color w:val="0070C0"/>
                <w:sz w:val="20"/>
                <w:szCs w:val="20"/>
              </w:rPr>
              <w:t>189,1</w:t>
            </w:r>
          </w:p>
        </w:tc>
        <w:tc>
          <w:tcPr>
            <w:tcW w:w="1015" w:type="dxa"/>
            <w:tcBorders>
              <w:top w:val="nil"/>
              <w:left w:val="nil"/>
              <w:bottom w:val="single" w:sz="4" w:space="0" w:color="auto"/>
              <w:right w:val="single" w:sz="4" w:space="0" w:color="auto"/>
            </w:tcBorders>
            <w:vAlign w:val="center"/>
            <w:hideMark/>
          </w:tcPr>
          <w:p w14:paraId="11F0965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5C4A7F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46C0A63" w14:textId="63CBD43C"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D7747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9D01C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5A20D0" w14:textId="1607503C" w:rsidR="00CB1061" w:rsidRPr="000C6E07" w:rsidRDefault="00CB1061" w:rsidP="00CB1061">
            <w:pPr>
              <w:spacing w:after="0"/>
              <w:jc w:val="center"/>
              <w:rPr>
                <w:rFonts w:eastAsia="Times New Roman" w:cs="Times New Roman"/>
                <w:color w:val="0070C0"/>
                <w:sz w:val="20"/>
                <w:szCs w:val="20"/>
                <w:lang w:val="ro-RO"/>
                <w14:ligatures w14:val="none"/>
              </w:rPr>
            </w:pPr>
            <w:r>
              <w:rPr>
                <w:color w:val="0070C0"/>
                <w:sz w:val="20"/>
                <w:szCs w:val="20"/>
              </w:rPr>
              <w:t>189,1</w:t>
            </w: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5A9862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38C880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14AF956" w14:textId="6B8A7D7F"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w:t>
            </w:r>
            <w:r>
              <w:rPr>
                <w:rFonts w:eastAsia="Times New Roman" w:cs="Times New Roman"/>
                <w:color w:val="000000"/>
                <w:sz w:val="20"/>
                <w:szCs w:val="20"/>
                <w:lang w:val="ro-RO"/>
                <w14:ligatures w14:val="none"/>
              </w:rPr>
              <w:t>8</w:t>
            </w:r>
          </w:p>
        </w:tc>
        <w:tc>
          <w:tcPr>
            <w:tcW w:w="1162" w:type="dxa"/>
            <w:tcBorders>
              <w:top w:val="nil"/>
              <w:left w:val="nil"/>
              <w:bottom w:val="single" w:sz="4" w:space="0" w:color="auto"/>
              <w:right w:val="single" w:sz="4" w:space="0" w:color="auto"/>
            </w:tcBorders>
            <w:vAlign w:val="center"/>
            <w:hideMark/>
          </w:tcPr>
          <w:p w14:paraId="644C4A0E" w14:textId="667F3D88"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2310701A" w14:textId="77777777" w:rsidTr="00B749D8">
        <w:trPr>
          <w:trHeight w:val="10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31624C28" w14:textId="7FAED507" w:rsidR="00CB1061" w:rsidRPr="000C6E07" w:rsidRDefault="00CB1061" w:rsidP="00CB1061">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5. </w:t>
            </w:r>
            <w:r w:rsidRPr="00463FA0">
              <w:rPr>
                <w:b/>
                <w:bCs/>
                <w:color w:val="000000"/>
                <w:kern w:val="2"/>
                <w:sz w:val="20"/>
                <w:szCs w:val="20"/>
                <w:lang w:val="ro-RO" w:eastAsia="ru-RU"/>
              </w:rPr>
              <w:t>Infrastructură și dotări ale  serviciilor de ordine și securitate publică în zona de securitate modernizate până în anul 2030</w:t>
            </w:r>
          </w:p>
        </w:tc>
      </w:tr>
      <w:tr w:rsidR="00CB1061" w:rsidRPr="000C6E07" w14:paraId="36D77C69"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75539D3E" w14:textId="13C6C4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3C448CA"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Implementarea mecanismului de protecție a angajaților din zona de securitate</w:t>
            </w:r>
          </w:p>
        </w:tc>
        <w:tc>
          <w:tcPr>
            <w:tcW w:w="1843" w:type="dxa"/>
            <w:tcBorders>
              <w:top w:val="nil"/>
              <w:left w:val="nil"/>
              <w:bottom w:val="single" w:sz="4" w:space="0" w:color="auto"/>
              <w:right w:val="single" w:sz="4" w:space="0" w:color="auto"/>
            </w:tcBorders>
            <w:vAlign w:val="center"/>
            <w:hideMark/>
          </w:tcPr>
          <w:p w14:paraId="3C292B33" w14:textId="0B77939A"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Mecanism aprobată</w:t>
            </w:r>
          </w:p>
        </w:tc>
        <w:tc>
          <w:tcPr>
            <w:tcW w:w="1026" w:type="dxa"/>
            <w:tcBorders>
              <w:top w:val="nil"/>
              <w:left w:val="nil"/>
              <w:bottom w:val="single" w:sz="4" w:space="0" w:color="auto"/>
              <w:right w:val="single" w:sz="4" w:space="0" w:color="auto"/>
            </w:tcBorders>
            <w:vAlign w:val="center"/>
            <w:hideMark/>
          </w:tcPr>
          <w:p w14:paraId="126B17C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17ADA8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511DFBE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654BF3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C3901C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3205930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E6FAEB"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A34CEC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6ECA39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F4CE41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3D8544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2027</w:t>
            </w:r>
          </w:p>
        </w:tc>
        <w:tc>
          <w:tcPr>
            <w:tcW w:w="1162" w:type="dxa"/>
            <w:tcBorders>
              <w:top w:val="nil"/>
              <w:left w:val="nil"/>
              <w:bottom w:val="single" w:sz="4" w:space="0" w:color="auto"/>
              <w:right w:val="single" w:sz="4" w:space="0" w:color="auto"/>
            </w:tcBorders>
            <w:vAlign w:val="center"/>
            <w:hideMark/>
          </w:tcPr>
          <w:p w14:paraId="5D26DC1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50CEEDC0"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03CC983F"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AF9630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C5901F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angajați care activează în zona de securitate, beneficiari ai mecanismului</w:t>
            </w:r>
          </w:p>
        </w:tc>
        <w:tc>
          <w:tcPr>
            <w:tcW w:w="1026" w:type="dxa"/>
            <w:tcBorders>
              <w:top w:val="nil"/>
              <w:left w:val="nil"/>
              <w:bottom w:val="single" w:sz="4" w:space="0" w:color="auto"/>
              <w:right w:val="single" w:sz="4" w:space="0" w:color="auto"/>
            </w:tcBorders>
            <w:vAlign w:val="center"/>
            <w:hideMark/>
          </w:tcPr>
          <w:p w14:paraId="6DAC8B2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0F63937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A1D018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5D0E5A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A06D4F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7324E26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0E0E7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4CBF1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4CD95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3A803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C56E01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4BDF4E6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02932A28" w14:textId="77777777" w:rsidTr="00C049DC">
        <w:trPr>
          <w:trHeight w:val="1040"/>
        </w:trPr>
        <w:tc>
          <w:tcPr>
            <w:tcW w:w="568" w:type="dxa"/>
            <w:tcBorders>
              <w:top w:val="nil"/>
              <w:left w:val="single" w:sz="4" w:space="0" w:color="auto"/>
              <w:bottom w:val="single" w:sz="4" w:space="0" w:color="auto"/>
              <w:right w:val="single" w:sz="4" w:space="0" w:color="auto"/>
            </w:tcBorders>
          </w:tcPr>
          <w:p w14:paraId="758CB774" w14:textId="77777777" w:rsidR="00CB1061" w:rsidRPr="00092DC1"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single" w:sz="4" w:space="0" w:color="auto"/>
              <w:bottom w:val="single" w:sz="4" w:space="0" w:color="auto"/>
              <w:right w:val="single" w:sz="4" w:space="0" w:color="auto"/>
            </w:tcBorders>
          </w:tcPr>
          <w:p w14:paraId="2BB9FDF8" w14:textId="77777777" w:rsidR="00CB1061" w:rsidRPr="00092DC1" w:rsidRDefault="00CB1061" w:rsidP="00CB1061">
            <w:pPr>
              <w:spacing w:after="0"/>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 xml:space="preserve">Revizuirea Ordinului comun între Serviciul Vamal și MAI cu nr.02-O/3 din 04.01.2012 cu privire la </w:t>
            </w:r>
            <w:r w:rsidRPr="00092DC1">
              <w:rPr>
                <w:rFonts w:eastAsia="Times New Roman" w:cs="Times New Roman"/>
                <w:color w:val="000000"/>
                <w:sz w:val="20"/>
                <w:szCs w:val="20"/>
                <w:lang w:val="ro-RO"/>
                <w14:ligatures w14:val="none"/>
              </w:rPr>
              <w:lastRenderedPageBreak/>
              <w:t xml:space="preserve">aprobarea Regulamentului privind interacțiunea dintre angajații SV și MAI antrenați în serviciu la posturile vamale interne de control </w:t>
            </w:r>
          </w:p>
          <w:p w14:paraId="3266DEC5" w14:textId="77777777" w:rsidR="00CB1061" w:rsidRPr="00092DC1"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tcPr>
          <w:p w14:paraId="2F7CE856" w14:textId="2A5B2FC6"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lastRenderedPageBreak/>
              <w:t>Ordin comun revizuit ți modificat</w:t>
            </w:r>
          </w:p>
        </w:tc>
        <w:tc>
          <w:tcPr>
            <w:tcW w:w="1026" w:type="dxa"/>
            <w:tcBorders>
              <w:top w:val="nil"/>
              <w:left w:val="nil"/>
              <w:bottom w:val="single" w:sz="4" w:space="0" w:color="auto"/>
              <w:right w:val="single" w:sz="4" w:space="0" w:color="auto"/>
            </w:tcBorders>
            <w:vAlign w:val="center"/>
          </w:tcPr>
          <w:p w14:paraId="65E9EAA1" w14:textId="49F89BF1" w:rsidR="00CB1061" w:rsidRPr="00092DC1" w:rsidRDefault="00CB1061" w:rsidP="00CB1061">
            <w:pPr>
              <w:spacing w:after="0"/>
              <w:jc w:val="center"/>
              <w:rPr>
                <w:rFonts w:eastAsia="Times New Roman" w:cs="Times New Roman"/>
                <w:color w:val="0070C0"/>
                <w:sz w:val="20"/>
                <w:szCs w:val="20"/>
                <w:lang w:val="ro-RO"/>
                <w14:ligatures w14:val="none"/>
              </w:rPr>
            </w:pPr>
            <w:r w:rsidRPr="00092DC1">
              <w:rPr>
                <w:rFonts w:eastAsia="Times New Roman" w:cs="Times New Roman"/>
                <w:color w:val="0070C0"/>
                <w:sz w:val="20"/>
                <w:szCs w:val="20"/>
                <w:lang w:val="ro-RO"/>
                <w14:ligatures w14:val="none"/>
              </w:rPr>
              <w:t xml:space="preserve">189,1 </w:t>
            </w:r>
          </w:p>
        </w:tc>
        <w:tc>
          <w:tcPr>
            <w:tcW w:w="1100" w:type="dxa"/>
            <w:tcBorders>
              <w:top w:val="nil"/>
              <w:left w:val="nil"/>
              <w:bottom w:val="single" w:sz="4" w:space="0" w:color="auto"/>
              <w:right w:val="single" w:sz="4" w:space="0" w:color="auto"/>
            </w:tcBorders>
            <w:vAlign w:val="center"/>
          </w:tcPr>
          <w:p w14:paraId="59DB15F4" w14:textId="03BA614E"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tcPr>
          <w:p w14:paraId="44E607F5" w14:textId="77777777" w:rsidR="00CB1061" w:rsidRPr="00092DC1" w:rsidRDefault="00CB1061" w:rsidP="00CB1061">
            <w:pPr>
              <w:spacing w:after="0"/>
              <w:jc w:val="center"/>
              <w:rPr>
                <w:rFonts w:eastAsia="Times New Roman" w:cs="Times New Roman"/>
                <w:color w:val="000000"/>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47CC256F" w14:textId="77777777" w:rsidR="00CB1061" w:rsidRPr="00092DC1" w:rsidRDefault="00CB1061" w:rsidP="00CB1061">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79F3404F" w14:textId="3AC5FBC4"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05</w:t>
            </w:r>
          </w:p>
          <w:p w14:paraId="7DC4EE95" w14:textId="14F0EE50"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tcPr>
          <w:p w14:paraId="0701D37A" w14:textId="397A3C03"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tcPr>
          <w:p w14:paraId="6C1AA0D8" w14:textId="77777777" w:rsidR="00CB1061" w:rsidRPr="00092DC1"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54998125" w14:textId="77777777" w:rsidR="00CB1061" w:rsidRPr="00092DC1"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1FFC39E4" w14:textId="77777777" w:rsidR="00CB1061" w:rsidRPr="00092DC1"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2A45A450" w14:textId="77777777" w:rsidR="00CB1061" w:rsidRPr="00092DC1" w:rsidRDefault="00CB1061" w:rsidP="00CB1061">
            <w:pPr>
              <w:spacing w:after="0"/>
              <w:jc w:val="center"/>
              <w:rPr>
                <w:rFonts w:eastAsia="Times New Roman" w:cs="Times New Roman"/>
                <w:color w:val="00000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4CBD6BA6" w14:textId="3164CAE1"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tcPr>
          <w:p w14:paraId="1E999070" w14:textId="77777777"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 xml:space="preserve">Serviciul Vamal; </w:t>
            </w:r>
          </w:p>
          <w:p w14:paraId="19D7B04D" w14:textId="672C41D3"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Ministerul Afacerilor Interne</w:t>
            </w:r>
          </w:p>
        </w:tc>
      </w:tr>
      <w:tr w:rsidR="00CB1061" w:rsidRPr="000C6E07" w14:paraId="06583D80" w14:textId="77777777" w:rsidTr="00BA5CC8">
        <w:trPr>
          <w:trHeight w:val="1300"/>
        </w:trPr>
        <w:tc>
          <w:tcPr>
            <w:tcW w:w="568" w:type="dxa"/>
            <w:vMerge w:val="restart"/>
            <w:tcBorders>
              <w:top w:val="nil"/>
              <w:left w:val="single" w:sz="4" w:space="0" w:color="auto"/>
              <w:right w:val="single" w:sz="4" w:space="0" w:color="auto"/>
            </w:tcBorders>
            <w:hideMark/>
          </w:tcPr>
          <w:p w14:paraId="2D83CB06" w14:textId="652B452E"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34106AB7"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condițiilor operaționale de activitate ale posturilor vamale interne de control pentru în raport cu amenințările la adresa ordinii și securității publice</w:t>
            </w:r>
          </w:p>
        </w:tc>
        <w:tc>
          <w:tcPr>
            <w:tcW w:w="1843" w:type="dxa"/>
            <w:tcBorders>
              <w:top w:val="nil"/>
              <w:left w:val="nil"/>
              <w:bottom w:val="single" w:sz="4" w:space="0" w:color="auto"/>
              <w:right w:val="single" w:sz="4" w:space="0" w:color="auto"/>
            </w:tcBorders>
            <w:vAlign w:val="center"/>
            <w:hideMark/>
          </w:tcPr>
          <w:p w14:paraId="74DAB788" w14:textId="5CB014A1"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100% din posturi vamale interne de control amenajate</w:t>
            </w:r>
            <w:r>
              <w:rPr>
                <w:rFonts w:eastAsia="Times New Roman" w:cs="Times New Roman"/>
                <w:color w:val="000000"/>
                <w:sz w:val="20"/>
                <w:szCs w:val="20"/>
                <w:lang w:val="ro-RO"/>
                <w14:ligatures w14:val="none"/>
              </w:rPr>
              <w:t>,</w:t>
            </w:r>
            <w:r w:rsidRPr="000C6E07">
              <w:rPr>
                <w:rFonts w:eastAsia="Times New Roman" w:cs="Times New Roman"/>
                <w:color w:val="000000"/>
                <w:sz w:val="20"/>
                <w:szCs w:val="20"/>
                <w:lang w:val="ro-RO"/>
                <w14:ligatures w14:val="none"/>
              </w:rPr>
              <w:t xml:space="preserve"> dotate și conectate la sistemele de telecomunicații</w:t>
            </w:r>
          </w:p>
        </w:tc>
        <w:tc>
          <w:tcPr>
            <w:tcW w:w="1026" w:type="dxa"/>
            <w:tcBorders>
              <w:top w:val="nil"/>
              <w:left w:val="nil"/>
              <w:bottom w:val="single" w:sz="4" w:space="0" w:color="auto"/>
              <w:right w:val="single" w:sz="4" w:space="0" w:color="auto"/>
            </w:tcBorders>
            <w:vAlign w:val="center"/>
            <w:hideMark/>
          </w:tcPr>
          <w:p w14:paraId="05BFE06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7.500,0</w:t>
            </w:r>
          </w:p>
        </w:tc>
        <w:tc>
          <w:tcPr>
            <w:tcW w:w="1100" w:type="dxa"/>
            <w:tcBorders>
              <w:top w:val="nil"/>
              <w:left w:val="nil"/>
              <w:bottom w:val="single" w:sz="4" w:space="0" w:color="auto"/>
              <w:right w:val="single" w:sz="4" w:space="0" w:color="auto"/>
            </w:tcBorders>
            <w:vAlign w:val="center"/>
            <w:hideMark/>
          </w:tcPr>
          <w:p w14:paraId="2D11B7E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7.500,0</w:t>
            </w:r>
          </w:p>
        </w:tc>
        <w:tc>
          <w:tcPr>
            <w:tcW w:w="1015" w:type="dxa"/>
            <w:tcBorders>
              <w:top w:val="nil"/>
              <w:left w:val="nil"/>
              <w:bottom w:val="single" w:sz="4" w:space="0" w:color="auto"/>
              <w:right w:val="single" w:sz="4" w:space="0" w:color="auto"/>
            </w:tcBorders>
            <w:vAlign w:val="center"/>
            <w:hideMark/>
          </w:tcPr>
          <w:p w14:paraId="1BC8C78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09B38C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DDDB648" w14:textId="5F9282FB" w:rsidR="00CB1061" w:rsidRPr="000C6E07"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05</w:t>
            </w:r>
          </w:p>
        </w:tc>
        <w:tc>
          <w:tcPr>
            <w:tcW w:w="1000" w:type="dxa"/>
            <w:tcBorders>
              <w:top w:val="nil"/>
              <w:left w:val="nil"/>
              <w:bottom w:val="single" w:sz="4" w:space="0" w:color="auto"/>
              <w:right w:val="single" w:sz="4" w:space="0" w:color="auto"/>
            </w:tcBorders>
            <w:vAlign w:val="center"/>
            <w:hideMark/>
          </w:tcPr>
          <w:p w14:paraId="1DA6C46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2.500,0</w:t>
            </w:r>
          </w:p>
        </w:tc>
        <w:tc>
          <w:tcPr>
            <w:tcW w:w="1000" w:type="dxa"/>
            <w:tcBorders>
              <w:top w:val="nil"/>
              <w:left w:val="nil"/>
              <w:bottom w:val="single" w:sz="4" w:space="0" w:color="auto"/>
              <w:right w:val="single" w:sz="4" w:space="0" w:color="auto"/>
            </w:tcBorders>
            <w:vAlign w:val="center"/>
            <w:hideMark/>
          </w:tcPr>
          <w:p w14:paraId="21C92CA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2.500,0</w:t>
            </w:r>
          </w:p>
        </w:tc>
        <w:tc>
          <w:tcPr>
            <w:tcW w:w="1000" w:type="dxa"/>
            <w:tcBorders>
              <w:top w:val="nil"/>
              <w:left w:val="nil"/>
              <w:bottom w:val="single" w:sz="4" w:space="0" w:color="auto"/>
              <w:right w:val="single" w:sz="4" w:space="0" w:color="auto"/>
            </w:tcBorders>
            <w:vAlign w:val="center"/>
            <w:hideMark/>
          </w:tcPr>
          <w:p w14:paraId="3DC229C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2.500,0</w:t>
            </w:r>
          </w:p>
        </w:tc>
        <w:tc>
          <w:tcPr>
            <w:tcW w:w="1000" w:type="dxa"/>
            <w:tcBorders>
              <w:top w:val="nil"/>
              <w:left w:val="nil"/>
              <w:bottom w:val="single" w:sz="4" w:space="0" w:color="auto"/>
              <w:right w:val="single" w:sz="4" w:space="0" w:color="auto"/>
            </w:tcBorders>
            <w:vAlign w:val="center"/>
            <w:hideMark/>
          </w:tcPr>
          <w:p w14:paraId="5CCA8D5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19D23B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46FE68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2029</w:t>
            </w:r>
          </w:p>
        </w:tc>
        <w:tc>
          <w:tcPr>
            <w:tcW w:w="1162" w:type="dxa"/>
            <w:tcBorders>
              <w:top w:val="nil"/>
              <w:left w:val="nil"/>
              <w:bottom w:val="single" w:sz="4" w:space="0" w:color="auto"/>
              <w:right w:val="single" w:sz="4" w:space="0" w:color="auto"/>
            </w:tcBorders>
            <w:vAlign w:val="center"/>
            <w:hideMark/>
          </w:tcPr>
          <w:p w14:paraId="21335028" w14:textId="099222B3"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Ministerul Finanțelor</w:t>
            </w:r>
          </w:p>
          <w:p w14:paraId="33EC2BC7" w14:textId="5B7B387F" w:rsidR="00CB1061" w:rsidRPr="00092DC1" w:rsidRDefault="00CB1061" w:rsidP="00CB1061">
            <w:pPr>
              <w:spacing w:after="0"/>
              <w:jc w:val="center"/>
              <w:rPr>
                <w:rFonts w:eastAsia="Times New Roman" w:cs="Times New Roman"/>
                <w:color w:val="000000"/>
                <w:sz w:val="20"/>
                <w:szCs w:val="20"/>
                <w:lang w:val="ro-RO"/>
                <w14:ligatures w14:val="none"/>
              </w:rPr>
            </w:pPr>
            <w:r w:rsidRPr="00092DC1">
              <w:rPr>
                <w:rFonts w:eastAsia="Times New Roman" w:cs="Times New Roman"/>
                <w:color w:val="000000"/>
                <w:sz w:val="20"/>
                <w:szCs w:val="20"/>
                <w:lang w:val="ro-RO"/>
                <w14:ligatures w14:val="none"/>
              </w:rPr>
              <w:t>Ministerul Afacerilor Interne</w:t>
            </w:r>
          </w:p>
        </w:tc>
      </w:tr>
      <w:tr w:rsidR="00CB1061" w:rsidRPr="000C6E07" w14:paraId="36E1EE2A" w14:textId="77777777" w:rsidTr="006A2852">
        <w:trPr>
          <w:trHeight w:val="1820"/>
        </w:trPr>
        <w:tc>
          <w:tcPr>
            <w:tcW w:w="568" w:type="dxa"/>
            <w:vMerge/>
            <w:tcBorders>
              <w:left w:val="single" w:sz="4" w:space="0" w:color="auto"/>
              <w:bottom w:val="single" w:sz="4" w:space="0" w:color="auto"/>
              <w:right w:val="single" w:sz="4" w:space="0" w:color="auto"/>
            </w:tcBorders>
            <w:hideMark/>
          </w:tcPr>
          <w:p w14:paraId="023C0091" w14:textId="08B17141"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2EE5C7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D5E3E5E"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100% din angajați instruiți privind utilizarea sistemului informațional de monitorizare a circulației mijloacelor de transport în/din zona de securitate</w:t>
            </w:r>
          </w:p>
        </w:tc>
        <w:tc>
          <w:tcPr>
            <w:tcW w:w="1026" w:type="dxa"/>
            <w:tcBorders>
              <w:top w:val="nil"/>
              <w:left w:val="nil"/>
              <w:bottom w:val="single" w:sz="4" w:space="0" w:color="auto"/>
              <w:right w:val="single" w:sz="4" w:space="0" w:color="auto"/>
            </w:tcBorders>
            <w:vAlign w:val="center"/>
            <w:hideMark/>
          </w:tcPr>
          <w:p w14:paraId="438B4D4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522162C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65D85EE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8BD137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89F9BE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E2C120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BBC8A1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0A24E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37046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B052E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36A762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4643ECD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27A447F7" w14:textId="77777777" w:rsidTr="004356CF">
        <w:trPr>
          <w:trHeight w:val="2080"/>
        </w:trPr>
        <w:tc>
          <w:tcPr>
            <w:tcW w:w="568" w:type="dxa"/>
            <w:tcBorders>
              <w:top w:val="nil"/>
              <w:left w:val="single" w:sz="4" w:space="0" w:color="auto"/>
              <w:bottom w:val="single" w:sz="4" w:space="0" w:color="auto"/>
              <w:right w:val="single" w:sz="4" w:space="0" w:color="auto"/>
            </w:tcBorders>
            <w:hideMark/>
          </w:tcPr>
          <w:p w14:paraId="147A96FB" w14:textId="1E9BCBD0"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08A1E296" w14:textId="77777777" w:rsidR="00CB1061"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Îmbunătățirea condițiilor de muncă în </w:t>
            </w:r>
            <w:r>
              <w:rPr>
                <w:rFonts w:eastAsia="Times New Roman" w:cs="Times New Roman"/>
                <w:color w:val="000000"/>
                <w:sz w:val="20"/>
                <w:szCs w:val="20"/>
                <w:lang w:val="ro-RO"/>
                <w14:ligatures w14:val="none"/>
              </w:rPr>
              <w:t>inspectoratele</w:t>
            </w:r>
            <w:r w:rsidRPr="000C6E07">
              <w:rPr>
                <w:rFonts w:eastAsia="Times New Roman" w:cs="Times New Roman"/>
                <w:color w:val="000000"/>
                <w:sz w:val="20"/>
                <w:szCs w:val="20"/>
                <w:lang w:val="ro-RO"/>
                <w14:ligatures w14:val="none"/>
              </w:rPr>
              <w:t xml:space="preserve"> de poliție din zona de securitate și zona de securitate sporită </w:t>
            </w:r>
          </w:p>
          <w:p w14:paraId="3DFEC6DE" w14:textId="6071CBBC"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2200883"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100% din inspectorate și sectoare de poliție din zonele de securitate și securitate sporită modernizate și adaptate la necesitățile femeilor și bărbaților </w:t>
            </w:r>
          </w:p>
        </w:tc>
        <w:tc>
          <w:tcPr>
            <w:tcW w:w="1026" w:type="dxa"/>
            <w:tcBorders>
              <w:top w:val="nil"/>
              <w:left w:val="nil"/>
              <w:bottom w:val="single" w:sz="4" w:space="0" w:color="auto"/>
              <w:right w:val="single" w:sz="4" w:space="0" w:color="auto"/>
            </w:tcBorders>
            <w:vAlign w:val="center"/>
            <w:hideMark/>
          </w:tcPr>
          <w:p w14:paraId="51F38FEF" w14:textId="5D572A69" w:rsidR="00CB1061" w:rsidRPr="000C6E07" w:rsidRDefault="00CB1061" w:rsidP="00CB1061">
            <w:pPr>
              <w:spacing w:after="0"/>
              <w:jc w:val="center"/>
              <w:rPr>
                <w:rFonts w:eastAsia="Times New Roman" w:cs="Times New Roman"/>
                <w:color w:val="0070C0"/>
                <w:sz w:val="20"/>
                <w:szCs w:val="20"/>
                <w:lang w:val="ro-RO"/>
                <w14:ligatures w14:val="none"/>
              </w:rPr>
            </w:pPr>
            <w:r>
              <w:rPr>
                <w:color w:val="0070C0"/>
                <w:sz w:val="20"/>
                <w:szCs w:val="20"/>
              </w:rPr>
              <w:t>266.005,20</w:t>
            </w:r>
          </w:p>
        </w:tc>
        <w:tc>
          <w:tcPr>
            <w:tcW w:w="1100" w:type="dxa"/>
            <w:tcBorders>
              <w:top w:val="nil"/>
              <w:left w:val="nil"/>
              <w:bottom w:val="single" w:sz="4" w:space="0" w:color="auto"/>
              <w:right w:val="single" w:sz="4" w:space="0" w:color="auto"/>
            </w:tcBorders>
            <w:vAlign w:val="center"/>
            <w:hideMark/>
          </w:tcPr>
          <w:p w14:paraId="07E5B7E4" w14:textId="2E4C9764" w:rsidR="00CB1061" w:rsidRPr="000C6E07" w:rsidRDefault="00CB1061" w:rsidP="00CB1061">
            <w:pPr>
              <w:spacing w:after="0"/>
              <w:jc w:val="center"/>
              <w:rPr>
                <w:rFonts w:eastAsia="Times New Roman" w:cs="Times New Roman"/>
                <w:color w:val="0070C0"/>
                <w:sz w:val="20"/>
                <w:szCs w:val="20"/>
                <w:lang w:val="ro-RO"/>
                <w14:ligatures w14:val="none"/>
              </w:rPr>
            </w:pPr>
            <w:r>
              <w:rPr>
                <w:color w:val="0070C0"/>
                <w:sz w:val="20"/>
                <w:szCs w:val="20"/>
              </w:rPr>
              <w:t>266.005,20</w:t>
            </w:r>
          </w:p>
        </w:tc>
        <w:tc>
          <w:tcPr>
            <w:tcW w:w="1015" w:type="dxa"/>
            <w:tcBorders>
              <w:top w:val="nil"/>
              <w:left w:val="nil"/>
              <w:bottom w:val="single" w:sz="4" w:space="0" w:color="auto"/>
              <w:right w:val="single" w:sz="4" w:space="0" w:color="auto"/>
            </w:tcBorders>
            <w:vAlign w:val="center"/>
            <w:hideMark/>
          </w:tcPr>
          <w:p w14:paraId="12CC672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69E9F1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E49C6E3"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F5FDFA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52.339,0</w:t>
            </w:r>
          </w:p>
        </w:tc>
        <w:tc>
          <w:tcPr>
            <w:tcW w:w="1000" w:type="dxa"/>
            <w:tcBorders>
              <w:top w:val="nil"/>
              <w:left w:val="nil"/>
              <w:bottom w:val="single" w:sz="4" w:space="0" w:color="auto"/>
              <w:right w:val="single" w:sz="4" w:space="0" w:color="auto"/>
            </w:tcBorders>
            <w:vAlign w:val="center"/>
            <w:hideMark/>
          </w:tcPr>
          <w:p w14:paraId="1C133CA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76.334,4</w:t>
            </w:r>
          </w:p>
        </w:tc>
        <w:tc>
          <w:tcPr>
            <w:tcW w:w="1000" w:type="dxa"/>
            <w:tcBorders>
              <w:top w:val="nil"/>
              <w:left w:val="nil"/>
              <w:bottom w:val="single" w:sz="4" w:space="0" w:color="auto"/>
              <w:right w:val="single" w:sz="4" w:space="0" w:color="auto"/>
            </w:tcBorders>
            <w:vAlign w:val="center"/>
            <w:hideMark/>
          </w:tcPr>
          <w:p w14:paraId="290A43E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52.000,0</w:t>
            </w:r>
          </w:p>
        </w:tc>
        <w:tc>
          <w:tcPr>
            <w:tcW w:w="1000" w:type="dxa"/>
            <w:tcBorders>
              <w:top w:val="nil"/>
              <w:left w:val="nil"/>
              <w:bottom w:val="single" w:sz="4" w:space="0" w:color="auto"/>
              <w:right w:val="single" w:sz="4" w:space="0" w:color="auto"/>
            </w:tcBorders>
            <w:vAlign w:val="center"/>
            <w:hideMark/>
          </w:tcPr>
          <w:p w14:paraId="09DBFD7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44.029,4</w:t>
            </w:r>
          </w:p>
        </w:tc>
        <w:tc>
          <w:tcPr>
            <w:tcW w:w="1000" w:type="dxa"/>
            <w:tcBorders>
              <w:top w:val="nil"/>
              <w:left w:val="nil"/>
              <w:bottom w:val="single" w:sz="4" w:space="0" w:color="auto"/>
              <w:right w:val="single" w:sz="4" w:space="0" w:color="auto"/>
            </w:tcBorders>
            <w:vAlign w:val="center"/>
            <w:hideMark/>
          </w:tcPr>
          <w:p w14:paraId="5796899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41.302,4</w:t>
            </w:r>
          </w:p>
        </w:tc>
        <w:tc>
          <w:tcPr>
            <w:tcW w:w="1082" w:type="dxa"/>
            <w:tcBorders>
              <w:top w:val="nil"/>
              <w:left w:val="nil"/>
              <w:bottom w:val="single" w:sz="4" w:space="0" w:color="auto"/>
              <w:right w:val="single" w:sz="4" w:space="0" w:color="auto"/>
            </w:tcBorders>
            <w:vAlign w:val="center"/>
            <w:hideMark/>
          </w:tcPr>
          <w:p w14:paraId="4528CF1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499D03B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55AA3865" w14:textId="77777777" w:rsidTr="004356CF">
        <w:trPr>
          <w:trHeight w:val="520"/>
        </w:trPr>
        <w:tc>
          <w:tcPr>
            <w:tcW w:w="568" w:type="dxa"/>
            <w:vMerge w:val="restart"/>
            <w:tcBorders>
              <w:top w:val="nil"/>
              <w:left w:val="single" w:sz="4" w:space="0" w:color="auto"/>
              <w:bottom w:val="single" w:sz="4" w:space="0" w:color="auto"/>
              <w:right w:val="single" w:sz="4" w:space="0" w:color="auto"/>
            </w:tcBorders>
            <w:hideMark/>
          </w:tcPr>
          <w:p w14:paraId="6469A951" w14:textId="181CA9CE"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6386BB69" w14:textId="77777777" w:rsidR="00CB1061"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Asigurarea răspuns</w:t>
            </w:r>
            <w:r>
              <w:rPr>
                <w:rFonts w:eastAsia="Times New Roman" w:cs="Times New Roman"/>
                <w:color w:val="000000"/>
                <w:sz w:val="20"/>
                <w:szCs w:val="20"/>
                <w:lang w:val="ro-RO"/>
                <w14:ligatures w14:val="none"/>
              </w:rPr>
              <w:t>ului</w:t>
            </w:r>
            <w:r w:rsidRPr="000C6E07">
              <w:rPr>
                <w:rFonts w:eastAsia="Times New Roman" w:cs="Times New Roman"/>
                <w:color w:val="000000"/>
                <w:sz w:val="20"/>
                <w:szCs w:val="20"/>
                <w:lang w:val="ro-RO"/>
                <w14:ligatures w14:val="none"/>
              </w:rPr>
              <w:t xml:space="preserve"> la amenințările la adresa ordinii și securității publice în contextul schimbărilor regionale</w:t>
            </w:r>
          </w:p>
          <w:p w14:paraId="09C0DBA4" w14:textId="77777777" w:rsidR="00CB1061" w:rsidRDefault="00CB1061" w:rsidP="00CB1061">
            <w:pPr>
              <w:spacing w:after="0"/>
              <w:rPr>
                <w:rFonts w:eastAsia="Times New Roman" w:cs="Times New Roman"/>
                <w:color w:val="000000"/>
                <w:sz w:val="20"/>
                <w:szCs w:val="20"/>
                <w:lang w:val="ro-RO"/>
                <w14:ligatures w14:val="none"/>
              </w:rPr>
            </w:pPr>
          </w:p>
          <w:p w14:paraId="392F89D3" w14:textId="77777777" w:rsidR="00CB1061" w:rsidRDefault="00CB1061" w:rsidP="00CB1061">
            <w:pPr>
              <w:spacing w:after="0"/>
              <w:rPr>
                <w:rFonts w:eastAsia="Times New Roman" w:cs="Times New Roman"/>
                <w:color w:val="000000"/>
                <w:sz w:val="20"/>
                <w:szCs w:val="20"/>
                <w:lang w:val="ro-RO"/>
                <w14:ligatures w14:val="none"/>
              </w:rPr>
            </w:pPr>
          </w:p>
          <w:p w14:paraId="626EA63F" w14:textId="77777777" w:rsidR="00CB1061" w:rsidRDefault="00CB1061" w:rsidP="00CB1061">
            <w:pPr>
              <w:spacing w:after="0"/>
              <w:rPr>
                <w:rFonts w:eastAsia="Times New Roman" w:cs="Times New Roman"/>
                <w:color w:val="000000"/>
                <w:sz w:val="20"/>
                <w:szCs w:val="20"/>
                <w:lang w:val="ro-RO"/>
                <w14:ligatures w14:val="none"/>
              </w:rPr>
            </w:pPr>
          </w:p>
          <w:p w14:paraId="4491796B" w14:textId="2CA57462"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BEBD46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Raport bianual de analiză a amenințărilor aprobat;</w:t>
            </w:r>
          </w:p>
        </w:tc>
        <w:tc>
          <w:tcPr>
            <w:tcW w:w="1026" w:type="dxa"/>
            <w:vMerge w:val="restart"/>
            <w:tcBorders>
              <w:top w:val="nil"/>
              <w:left w:val="single" w:sz="4" w:space="0" w:color="auto"/>
              <w:bottom w:val="single" w:sz="4" w:space="0" w:color="auto"/>
              <w:right w:val="single" w:sz="4" w:space="0" w:color="auto"/>
            </w:tcBorders>
            <w:vAlign w:val="center"/>
            <w:hideMark/>
          </w:tcPr>
          <w:p w14:paraId="4140B87B" w14:textId="4BCA2225"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w:t>
            </w:r>
            <w:r w:rsidR="00B31202">
              <w:rPr>
                <w:rFonts w:eastAsia="Times New Roman" w:cs="Times New Roman"/>
                <w:color w:val="0070C0"/>
                <w:sz w:val="20"/>
                <w:szCs w:val="20"/>
                <w:lang w:val="ro-RO"/>
                <w14:ligatures w14:val="none"/>
              </w:rPr>
              <w:t>3</w:t>
            </w:r>
          </w:p>
        </w:tc>
        <w:tc>
          <w:tcPr>
            <w:tcW w:w="1100" w:type="dxa"/>
            <w:vMerge w:val="restart"/>
            <w:tcBorders>
              <w:top w:val="nil"/>
              <w:left w:val="single" w:sz="4" w:space="0" w:color="auto"/>
              <w:bottom w:val="single" w:sz="4" w:space="0" w:color="auto"/>
              <w:right w:val="single" w:sz="4" w:space="0" w:color="auto"/>
            </w:tcBorders>
            <w:vAlign w:val="center"/>
            <w:hideMark/>
          </w:tcPr>
          <w:p w14:paraId="6AF21595" w14:textId="7EEF9FAC"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w:t>
            </w:r>
            <w:r w:rsidR="00B31202">
              <w:rPr>
                <w:rFonts w:eastAsia="Times New Roman" w:cs="Times New Roman"/>
                <w:color w:val="0070C0"/>
                <w:sz w:val="20"/>
                <w:szCs w:val="20"/>
                <w:lang w:val="ro-RO"/>
                <w14:ligatures w14:val="none"/>
              </w:rPr>
              <w:t>3</w:t>
            </w:r>
          </w:p>
        </w:tc>
        <w:tc>
          <w:tcPr>
            <w:tcW w:w="1015" w:type="dxa"/>
            <w:vMerge w:val="restart"/>
            <w:tcBorders>
              <w:top w:val="nil"/>
              <w:left w:val="single" w:sz="4" w:space="0" w:color="auto"/>
              <w:bottom w:val="single" w:sz="4" w:space="0" w:color="auto"/>
              <w:right w:val="single" w:sz="4" w:space="0" w:color="auto"/>
            </w:tcBorders>
            <w:vAlign w:val="center"/>
            <w:hideMark/>
          </w:tcPr>
          <w:p w14:paraId="6432D93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0DC4A00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4B3CD09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771BF238" w14:textId="62A84CEE"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w:t>
            </w:r>
            <w:r w:rsidR="00B31202">
              <w:rPr>
                <w:rFonts w:eastAsia="Times New Roman" w:cs="Times New Roman"/>
                <w:color w:val="0070C0"/>
                <w:sz w:val="20"/>
                <w:szCs w:val="20"/>
                <w:lang w:val="ro-RO"/>
                <w14:ligatures w14:val="none"/>
              </w:rPr>
              <w:t>1</w:t>
            </w:r>
          </w:p>
        </w:tc>
        <w:tc>
          <w:tcPr>
            <w:tcW w:w="1000" w:type="dxa"/>
            <w:vMerge w:val="restart"/>
            <w:tcBorders>
              <w:top w:val="nil"/>
              <w:left w:val="single" w:sz="4" w:space="0" w:color="auto"/>
              <w:bottom w:val="single" w:sz="4" w:space="0" w:color="auto"/>
              <w:right w:val="single" w:sz="4" w:space="0" w:color="auto"/>
            </w:tcBorders>
            <w:vAlign w:val="center"/>
            <w:hideMark/>
          </w:tcPr>
          <w:p w14:paraId="062850B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53AD7EC8" w14:textId="43B60443"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w:t>
            </w:r>
            <w:r w:rsidR="00B31202">
              <w:rPr>
                <w:rFonts w:eastAsia="Times New Roman" w:cs="Times New Roman"/>
                <w:color w:val="0070C0"/>
                <w:sz w:val="20"/>
                <w:szCs w:val="20"/>
                <w:lang w:val="ro-RO"/>
                <w14:ligatures w14:val="none"/>
              </w:rPr>
              <w:t>1</w:t>
            </w:r>
          </w:p>
        </w:tc>
        <w:tc>
          <w:tcPr>
            <w:tcW w:w="1000" w:type="dxa"/>
            <w:vMerge w:val="restart"/>
            <w:tcBorders>
              <w:top w:val="nil"/>
              <w:left w:val="single" w:sz="4" w:space="0" w:color="auto"/>
              <w:bottom w:val="single" w:sz="4" w:space="0" w:color="auto"/>
              <w:right w:val="single" w:sz="4" w:space="0" w:color="auto"/>
            </w:tcBorders>
            <w:vAlign w:val="center"/>
            <w:hideMark/>
          </w:tcPr>
          <w:p w14:paraId="41E593A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F5D3A38" w14:textId="3AE167C8"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w:t>
            </w:r>
            <w:r w:rsidR="00B31202">
              <w:rPr>
                <w:rFonts w:eastAsia="Times New Roman" w:cs="Times New Roman"/>
                <w:color w:val="0070C0"/>
                <w:sz w:val="20"/>
                <w:szCs w:val="20"/>
                <w:lang w:val="ro-RO"/>
                <w14:ligatures w14:val="none"/>
              </w:rPr>
              <w:t>1</w:t>
            </w:r>
          </w:p>
        </w:tc>
        <w:tc>
          <w:tcPr>
            <w:tcW w:w="1082" w:type="dxa"/>
            <w:tcBorders>
              <w:top w:val="nil"/>
              <w:left w:val="nil"/>
              <w:bottom w:val="single" w:sz="4" w:space="0" w:color="auto"/>
              <w:right w:val="single" w:sz="4" w:space="0" w:color="auto"/>
            </w:tcBorders>
            <w:vAlign w:val="center"/>
            <w:hideMark/>
          </w:tcPr>
          <w:p w14:paraId="568F28B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val="restart"/>
            <w:tcBorders>
              <w:top w:val="nil"/>
              <w:left w:val="single" w:sz="4" w:space="0" w:color="auto"/>
              <w:bottom w:val="single" w:sz="4" w:space="0" w:color="auto"/>
              <w:right w:val="single" w:sz="4" w:space="0" w:color="auto"/>
            </w:tcBorders>
            <w:vAlign w:val="center"/>
            <w:hideMark/>
          </w:tcPr>
          <w:p w14:paraId="4D1910E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w:t>
            </w:r>
          </w:p>
        </w:tc>
      </w:tr>
      <w:tr w:rsidR="00CB1061" w:rsidRPr="000C6E07" w14:paraId="098C659F"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7E4269A8"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4DC529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359F8D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riscuri identificate;</w:t>
            </w:r>
          </w:p>
        </w:tc>
        <w:tc>
          <w:tcPr>
            <w:tcW w:w="1026" w:type="dxa"/>
            <w:vMerge/>
            <w:tcBorders>
              <w:top w:val="nil"/>
              <w:left w:val="single" w:sz="4" w:space="0" w:color="auto"/>
              <w:bottom w:val="single" w:sz="4" w:space="0" w:color="auto"/>
              <w:right w:val="single" w:sz="4" w:space="0" w:color="auto"/>
            </w:tcBorders>
            <w:vAlign w:val="center"/>
            <w:hideMark/>
          </w:tcPr>
          <w:p w14:paraId="4DAB7B70"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46AB47C9"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33EDCA8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447F751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68BB90E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EB1D0F1"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06A9992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3651A5A"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8B0B67A"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E55409C"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679C75C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auto"/>
              <w:right w:val="single" w:sz="4" w:space="0" w:color="auto"/>
            </w:tcBorders>
            <w:vAlign w:val="center"/>
            <w:hideMark/>
          </w:tcPr>
          <w:p w14:paraId="785FAD68"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7C776F3C"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6A233B88"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AFC82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69DF0F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recomandări înaintate</w:t>
            </w:r>
          </w:p>
        </w:tc>
        <w:tc>
          <w:tcPr>
            <w:tcW w:w="1026" w:type="dxa"/>
            <w:vMerge/>
            <w:tcBorders>
              <w:top w:val="nil"/>
              <w:left w:val="single" w:sz="4" w:space="0" w:color="auto"/>
              <w:bottom w:val="single" w:sz="4" w:space="0" w:color="auto"/>
              <w:right w:val="single" w:sz="4" w:space="0" w:color="auto"/>
            </w:tcBorders>
            <w:vAlign w:val="center"/>
            <w:hideMark/>
          </w:tcPr>
          <w:p w14:paraId="3431C5B7"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747AC7BB"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254D515D"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22371D2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376615C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625DEDAC"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873C7C9"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CC43DDE"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F862AF1"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92A295B"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71815EA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auto"/>
              <w:right w:val="single" w:sz="4" w:space="0" w:color="auto"/>
            </w:tcBorders>
            <w:vAlign w:val="center"/>
            <w:hideMark/>
          </w:tcPr>
          <w:p w14:paraId="0B19EBCB"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02610540" w14:textId="77777777" w:rsidTr="00712D64">
        <w:trPr>
          <w:trHeight w:val="115"/>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578AC980" w14:textId="0AC2681A" w:rsidR="00CB1061" w:rsidRPr="000C6E07" w:rsidRDefault="00CB1061" w:rsidP="00CB1061">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w:t>
            </w:r>
            <w:r w:rsidRPr="00463FA0">
              <w:rPr>
                <w:b/>
                <w:sz w:val="20"/>
                <w:szCs w:val="20"/>
                <w:lang w:val="ro-RO"/>
              </w:rPr>
              <w:t xml:space="preserve"> 1.</w:t>
            </w:r>
            <w:r>
              <w:rPr>
                <w:b/>
                <w:sz w:val="20"/>
                <w:szCs w:val="20"/>
                <w:lang w:val="ro-RO"/>
              </w:rPr>
              <w:t xml:space="preserve">6. </w:t>
            </w:r>
            <w:r w:rsidRPr="00463FA0">
              <w:rPr>
                <w:rFonts w:eastAsia="Calibri"/>
                <w:b/>
                <w:bCs/>
                <w:color w:val="000000"/>
                <w:sz w:val="20"/>
                <w:szCs w:val="20"/>
                <w:lang w:val="ro-RO" w:eastAsia="zh-CN"/>
              </w:rPr>
              <w:t>Protecția și reziliența infrastructurilor critice naționale și a entităților critice, asigurată în conformitate cu standardele Uniunii Europene, până în anul 2030</w:t>
            </w:r>
          </w:p>
        </w:tc>
      </w:tr>
      <w:tr w:rsidR="00CB1061" w:rsidRPr="000C6E07" w14:paraId="56A71CB6"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0CF33C3F" w14:textId="530B631F"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6A5B02A5"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Implementarea cadrului normativ pentru identificarea, desemnarea și </w:t>
            </w:r>
            <w:r w:rsidRPr="000C6E07">
              <w:rPr>
                <w:rFonts w:eastAsia="Times New Roman" w:cs="Times New Roman"/>
                <w:color w:val="000000"/>
                <w:sz w:val="20"/>
                <w:szCs w:val="20"/>
                <w:lang w:val="ro-RO"/>
                <w14:ligatures w14:val="none"/>
              </w:rPr>
              <w:lastRenderedPageBreak/>
              <w:t>protecția infrastructurilor critice naționale</w:t>
            </w:r>
          </w:p>
        </w:tc>
        <w:tc>
          <w:tcPr>
            <w:tcW w:w="1843" w:type="dxa"/>
            <w:tcBorders>
              <w:top w:val="nil"/>
              <w:left w:val="nil"/>
              <w:bottom w:val="single" w:sz="4" w:space="0" w:color="auto"/>
              <w:right w:val="single" w:sz="4" w:space="0" w:color="auto"/>
            </w:tcBorders>
            <w:vAlign w:val="center"/>
            <w:hideMark/>
          </w:tcPr>
          <w:p w14:paraId="408151E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Operaționalizarea Centrului Național de Coordonare a Protecției Infrastructurii Critice</w:t>
            </w:r>
          </w:p>
        </w:tc>
        <w:tc>
          <w:tcPr>
            <w:tcW w:w="1026" w:type="dxa"/>
            <w:tcBorders>
              <w:top w:val="nil"/>
              <w:left w:val="nil"/>
              <w:bottom w:val="single" w:sz="4" w:space="0" w:color="auto"/>
              <w:right w:val="single" w:sz="4" w:space="0" w:color="auto"/>
            </w:tcBorders>
            <w:vAlign w:val="center"/>
            <w:hideMark/>
          </w:tcPr>
          <w:p w14:paraId="3C2FDC3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5.000,00</w:t>
            </w:r>
          </w:p>
        </w:tc>
        <w:tc>
          <w:tcPr>
            <w:tcW w:w="1100" w:type="dxa"/>
            <w:tcBorders>
              <w:top w:val="nil"/>
              <w:left w:val="nil"/>
              <w:bottom w:val="single" w:sz="4" w:space="0" w:color="auto"/>
              <w:right w:val="single" w:sz="4" w:space="0" w:color="auto"/>
            </w:tcBorders>
            <w:vAlign w:val="center"/>
            <w:hideMark/>
          </w:tcPr>
          <w:p w14:paraId="132006E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5.000,00</w:t>
            </w:r>
          </w:p>
        </w:tc>
        <w:tc>
          <w:tcPr>
            <w:tcW w:w="1015" w:type="dxa"/>
            <w:tcBorders>
              <w:top w:val="nil"/>
              <w:left w:val="nil"/>
              <w:bottom w:val="single" w:sz="4" w:space="0" w:color="auto"/>
              <w:right w:val="single" w:sz="4" w:space="0" w:color="auto"/>
            </w:tcBorders>
            <w:vAlign w:val="center"/>
            <w:hideMark/>
          </w:tcPr>
          <w:p w14:paraId="4EB53BA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9BE8C4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E18370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4203694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5.000,00</w:t>
            </w:r>
          </w:p>
        </w:tc>
        <w:tc>
          <w:tcPr>
            <w:tcW w:w="1000" w:type="dxa"/>
            <w:tcBorders>
              <w:top w:val="nil"/>
              <w:left w:val="nil"/>
              <w:bottom w:val="single" w:sz="4" w:space="0" w:color="auto"/>
              <w:right w:val="single" w:sz="4" w:space="0" w:color="auto"/>
            </w:tcBorders>
            <w:vAlign w:val="center"/>
            <w:hideMark/>
          </w:tcPr>
          <w:p w14:paraId="17EA6D9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7ACE1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D40FD7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149293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EBEA1B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tcBorders>
              <w:top w:val="nil"/>
              <w:left w:val="nil"/>
              <w:bottom w:val="single" w:sz="4" w:space="0" w:color="auto"/>
              <w:right w:val="single" w:sz="4" w:space="0" w:color="auto"/>
            </w:tcBorders>
            <w:vAlign w:val="center"/>
            <w:hideMark/>
          </w:tcPr>
          <w:p w14:paraId="424E733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3E6EB7E2" w14:textId="77777777" w:rsidTr="004356CF">
        <w:trPr>
          <w:trHeight w:val="2340"/>
        </w:trPr>
        <w:tc>
          <w:tcPr>
            <w:tcW w:w="568" w:type="dxa"/>
            <w:vMerge/>
            <w:tcBorders>
              <w:top w:val="nil"/>
              <w:left w:val="single" w:sz="4" w:space="0" w:color="auto"/>
              <w:bottom w:val="single" w:sz="4" w:space="0" w:color="auto"/>
              <w:right w:val="single" w:sz="4" w:space="0" w:color="auto"/>
            </w:tcBorders>
            <w:hideMark/>
          </w:tcPr>
          <w:p w14:paraId="64054523"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93A337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8D46D31" w14:textId="1758C623"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Ordine ministeriale</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w:t>
            </w:r>
            <w:r>
              <w:rPr>
                <w:rFonts w:eastAsia="Times New Roman" w:cs="Times New Roman"/>
                <w:color w:val="000000"/>
                <w:sz w:val="20"/>
                <w:szCs w:val="20"/>
                <w:lang w:val="ro-RO"/>
                <w14:ligatures w14:val="none"/>
              </w:rPr>
              <w:t xml:space="preserve"> </w:t>
            </w:r>
            <w:r w:rsidRPr="000C6E07">
              <w:rPr>
                <w:rFonts w:eastAsia="Times New Roman" w:cs="Times New Roman"/>
                <w:color w:val="000000"/>
                <w:sz w:val="20"/>
                <w:szCs w:val="20"/>
                <w:lang w:val="ro-RO"/>
                <w14:ligatures w14:val="none"/>
              </w:rPr>
              <w:t>interministeriale privind stabilirea criteriilor sectoriale și pragurile critice aferente identificării infrastructurilor critice din fiecare sector în parte, aprobate</w:t>
            </w:r>
          </w:p>
        </w:tc>
        <w:tc>
          <w:tcPr>
            <w:tcW w:w="1026" w:type="dxa"/>
            <w:tcBorders>
              <w:top w:val="nil"/>
              <w:left w:val="nil"/>
              <w:bottom w:val="single" w:sz="4" w:space="0" w:color="auto"/>
              <w:right w:val="single" w:sz="4" w:space="0" w:color="auto"/>
            </w:tcBorders>
            <w:vAlign w:val="center"/>
            <w:hideMark/>
          </w:tcPr>
          <w:p w14:paraId="586D9CE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1.337,1</w:t>
            </w:r>
          </w:p>
        </w:tc>
        <w:tc>
          <w:tcPr>
            <w:tcW w:w="1100" w:type="dxa"/>
            <w:tcBorders>
              <w:top w:val="nil"/>
              <w:left w:val="nil"/>
              <w:bottom w:val="single" w:sz="4" w:space="0" w:color="auto"/>
              <w:right w:val="single" w:sz="4" w:space="0" w:color="auto"/>
            </w:tcBorders>
            <w:vAlign w:val="center"/>
            <w:hideMark/>
          </w:tcPr>
          <w:p w14:paraId="002A562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1.337,1</w:t>
            </w:r>
          </w:p>
        </w:tc>
        <w:tc>
          <w:tcPr>
            <w:tcW w:w="1015" w:type="dxa"/>
            <w:tcBorders>
              <w:top w:val="nil"/>
              <w:left w:val="nil"/>
              <w:bottom w:val="single" w:sz="4" w:space="0" w:color="auto"/>
              <w:right w:val="single" w:sz="4" w:space="0" w:color="auto"/>
            </w:tcBorders>
            <w:vAlign w:val="center"/>
            <w:hideMark/>
          </w:tcPr>
          <w:p w14:paraId="73376A5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FF7351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9BD99E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39C5791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1.337,1</w:t>
            </w:r>
          </w:p>
        </w:tc>
        <w:tc>
          <w:tcPr>
            <w:tcW w:w="1000" w:type="dxa"/>
            <w:tcBorders>
              <w:top w:val="nil"/>
              <w:left w:val="nil"/>
              <w:bottom w:val="single" w:sz="4" w:space="0" w:color="auto"/>
              <w:right w:val="single" w:sz="4" w:space="0" w:color="auto"/>
            </w:tcBorders>
            <w:vAlign w:val="center"/>
            <w:hideMark/>
          </w:tcPr>
          <w:p w14:paraId="67C29F0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05C84B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85B8BB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B0C9AC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D9B1C0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528E76C1" w14:textId="20F8E9CB" w:rsidR="00CB1061" w:rsidRPr="000C6E07" w:rsidRDefault="00C123D2"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r w:rsidR="00457CFE">
              <w:rPr>
                <w:rFonts w:eastAsia="Times New Roman" w:cs="Times New Roman"/>
                <w:color w:val="000000"/>
                <w:sz w:val="20"/>
                <w:szCs w:val="20"/>
                <w:lang w:val="ro-RO"/>
                <w14:ligatures w14:val="none"/>
              </w:rPr>
              <w:t xml:space="preserve"> toate ministerele</w:t>
            </w:r>
            <w:r w:rsidR="00CB1061" w:rsidRPr="000C6E07">
              <w:rPr>
                <w:rFonts w:eastAsia="Times New Roman" w:cs="Times New Roman"/>
                <w:color w:val="000000"/>
                <w:sz w:val="20"/>
                <w:szCs w:val="20"/>
                <w:lang w:val="ro-RO"/>
                <w14:ligatures w14:val="none"/>
              </w:rPr>
              <w:t> </w:t>
            </w:r>
          </w:p>
        </w:tc>
      </w:tr>
      <w:tr w:rsidR="00CB1061" w:rsidRPr="000C6E07" w14:paraId="5E4A6788" w14:textId="77777777" w:rsidTr="004356CF">
        <w:trPr>
          <w:trHeight w:val="1820"/>
        </w:trPr>
        <w:tc>
          <w:tcPr>
            <w:tcW w:w="568" w:type="dxa"/>
            <w:vMerge/>
            <w:tcBorders>
              <w:top w:val="nil"/>
              <w:left w:val="single" w:sz="4" w:space="0" w:color="auto"/>
              <w:bottom w:val="single" w:sz="4" w:space="0" w:color="auto"/>
              <w:right w:val="single" w:sz="4" w:space="0" w:color="auto"/>
            </w:tcBorders>
            <w:hideMark/>
          </w:tcPr>
          <w:p w14:paraId="389136EA"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5F4725F"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DD4654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Componența, atribuțiile și modul de organizare a Grupul de lucru interinstituțional pentru protecția infrastructurilor critice aprobate prin Hotărâri de Guvern</w:t>
            </w:r>
          </w:p>
        </w:tc>
        <w:tc>
          <w:tcPr>
            <w:tcW w:w="1026" w:type="dxa"/>
            <w:tcBorders>
              <w:top w:val="nil"/>
              <w:left w:val="nil"/>
              <w:bottom w:val="single" w:sz="4" w:space="0" w:color="auto"/>
              <w:right w:val="single" w:sz="4" w:space="0" w:color="auto"/>
            </w:tcBorders>
            <w:vAlign w:val="center"/>
            <w:hideMark/>
          </w:tcPr>
          <w:p w14:paraId="583F1D0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084A731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2B2DD40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82C03D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B9CD74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7AFC90A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4645E48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25D001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4DA0FA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C987A6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09D8DE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tcBorders>
              <w:top w:val="nil"/>
              <w:left w:val="nil"/>
              <w:bottom w:val="single" w:sz="4" w:space="0" w:color="auto"/>
              <w:right w:val="single" w:sz="4" w:space="0" w:color="auto"/>
            </w:tcBorders>
            <w:vAlign w:val="center"/>
            <w:hideMark/>
          </w:tcPr>
          <w:p w14:paraId="3758A1F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2BA7B69E"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6772B9CD"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74ECECE"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5608CC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Praguri critice aferente criteriilor intersectoriale (hotărâre de Guvern) aprobate</w:t>
            </w:r>
          </w:p>
        </w:tc>
        <w:tc>
          <w:tcPr>
            <w:tcW w:w="1026" w:type="dxa"/>
            <w:tcBorders>
              <w:top w:val="nil"/>
              <w:left w:val="nil"/>
              <w:bottom w:val="single" w:sz="4" w:space="0" w:color="auto"/>
              <w:right w:val="single" w:sz="4" w:space="0" w:color="auto"/>
            </w:tcBorders>
            <w:vAlign w:val="center"/>
            <w:hideMark/>
          </w:tcPr>
          <w:p w14:paraId="440677C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472CF47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22AA57E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BFB5CB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5208E8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7D07C35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2DDE417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282501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C48593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93E71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B15B2E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bottom w:val="single" w:sz="4" w:space="0" w:color="auto"/>
              <w:right w:val="single" w:sz="4" w:space="0" w:color="auto"/>
            </w:tcBorders>
            <w:vAlign w:val="center"/>
            <w:hideMark/>
          </w:tcPr>
          <w:p w14:paraId="7A7D155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75C67996"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5C159E58"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46872B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60644D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Lista infrastructurilor critice identificate și aprobată prin Hotărâre de Guvern</w:t>
            </w:r>
          </w:p>
        </w:tc>
        <w:tc>
          <w:tcPr>
            <w:tcW w:w="1026" w:type="dxa"/>
            <w:tcBorders>
              <w:top w:val="nil"/>
              <w:left w:val="nil"/>
              <w:bottom w:val="single" w:sz="4" w:space="0" w:color="auto"/>
              <w:right w:val="single" w:sz="4" w:space="0" w:color="auto"/>
            </w:tcBorders>
            <w:vAlign w:val="center"/>
            <w:hideMark/>
          </w:tcPr>
          <w:p w14:paraId="698B4B2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1FCE5A8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4A74AF1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96DACF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F92697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2EE5926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382DBFC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E23DB2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09B9CD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CDDDCD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66E2F6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bottom w:val="single" w:sz="4" w:space="0" w:color="auto"/>
              <w:right w:val="single" w:sz="4" w:space="0" w:color="auto"/>
            </w:tcBorders>
            <w:vAlign w:val="center"/>
            <w:hideMark/>
          </w:tcPr>
          <w:p w14:paraId="2C1D294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07AE84E0"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5A33710B" w14:textId="6DB189A3"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2848F16"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Aprobarea cadrului normativ pentru identificarea, desemnarea și protecția entităților critice</w:t>
            </w:r>
          </w:p>
        </w:tc>
        <w:tc>
          <w:tcPr>
            <w:tcW w:w="1843" w:type="dxa"/>
            <w:tcBorders>
              <w:top w:val="nil"/>
              <w:left w:val="nil"/>
              <w:bottom w:val="single" w:sz="4" w:space="0" w:color="auto"/>
              <w:right w:val="single" w:sz="4" w:space="0" w:color="auto"/>
            </w:tcBorders>
            <w:vAlign w:val="center"/>
            <w:hideMark/>
          </w:tcPr>
          <w:p w14:paraId="50614CC9"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Proiect de Lege privind reziliența entităților critice elaborat și promovat</w:t>
            </w:r>
          </w:p>
          <w:p w14:paraId="3271FB89" w14:textId="097E6124"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9CB879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01EA8D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634118C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36052B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1535C0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65FE4EE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6827113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DCC8ED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B90FE2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4744BB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C8A2C1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0BCB0C9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6E9A68CB" w14:textId="77777777" w:rsidTr="004356CF">
        <w:trPr>
          <w:trHeight w:val="1820"/>
        </w:trPr>
        <w:tc>
          <w:tcPr>
            <w:tcW w:w="568" w:type="dxa"/>
            <w:vMerge/>
            <w:tcBorders>
              <w:top w:val="nil"/>
              <w:left w:val="single" w:sz="4" w:space="0" w:color="auto"/>
              <w:bottom w:val="single" w:sz="4" w:space="0" w:color="auto"/>
              <w:right w:val="single" w:sz="4" w:space="0" w:color="auto"/>
            </w:tcBorders>
            <w:hideMark/>
          </w:tcPr>
          <w:p w14:paraId="4D2C498F"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70ED80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438E238"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Componența, atribuțiile și modul de organizare a Grupul de lucru interinstituțional pentru protecția entităților critice aprobat prin Dispoziție de Guvern</w:t>
            </w:r>
          </w:p>
          <w:p w14:paraId="4F825FA8" w14:textId="454ADE24"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579C851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2AAA09F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584CF6F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BAB17F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DC3BF2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2988A27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79CCA52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AE8129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1F2E9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B4BF02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B48440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7E67C91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5A972BF5"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34B33440"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9E84281"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61005D3"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Lista entităților critice aprobată prin Hotărâre de guvern</w:t>
            </w:r>
          </w:p>
          <w:p w14:paraId="3E4C451A" w14:textId="2D6E2862"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0F03C20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1E382AC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6BCD63F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180CE8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57EE15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6F977C1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2180E5D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8FD137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FE15B5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37A8DB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F9AC51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4F891FD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23EBE0D5"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747E4053"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A76A6B1"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12849C0"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Strategia de consolidare a rezilienței entităților critice aprobată prin Hotărâre de Guvern </w:t>
            </w:r>
          </w:p>
          <w:p w14:paraId="24E59591" w14:textId="6289F27B"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6A7972C"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365F2F0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7C9AFFC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154050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F52E31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3501</w:t>
            </w:r>
          </w:p>
        </w:tc>
        <w:tc>
          <w:tcPr>
            <w:tcW w:w="1000" w:type="dxa"/>
            <w:tcBorders>
              <w:top w:val="nil"/>
              <w:left w:val="nil"/>
              <w:bottom w:val="single" w:sz="4" w:space="0" w:color="auto"/>
              <w:right w:val="single" w:sz="4" w:space="0" w:color="auto"/>
            </w:tcBorders>
            <w:vAlign w:val="center"/>
            <w:hideMark/>
          </w:tcPr>
          <w:p w14:paraId="59DEF6F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59B56D9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03B4B5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C56B7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9B8BCE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7F33A96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7BF5E8A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r>
      <w:tr w:rsidR="00CB1061" w:rsidRPr="000C6E07" w14:paraId="44DAF54E" w14:textId="77777777" w:rsidTr="00D41464">
        <w:trPr>
          <w:trHeight w:val="183"/>
        </w:trPr>
        <w:tc>
          <w:tcPr>
            <w:tcW w:w="16317" w:type="dxa"/>
            <w:gridSpan w:val="15"/>
            <w:tcBorders>
              <w:top w:val="nil"/>
              <w:left w:val="single" w:sz="4" w:space="0" w:color="auto"/>
              <w:bottom w:val="single" w:sz="4" w:space="0" w:color="auto"/>
              <w:right w:val="single" w:sz="4" w:space="0" w:color="auto"/>
            </w:tcBorders>
            <w:shd w:val="clear" w:color="auto" w:fill="FFF2CC" w:themeFill="accent4" w:themeFillTint="33"/>
            <w:vAlign w:val="center"/>
          </w:tcPr>
          <w:p w14:paraId="10526AE1" w14:textId="62C28545" w:rsidR="00CB1061" w:rsidRPr="000C6E07" w:rsidRDefault="00CB1061" w:rsidP="00CB1061">
            <w:pPr>
              <w:spacing w:after="0"/>
              <w:rPr>
                <w:rFonts w:eastAsia="Times New Roman" w:cs="Times New Roman"/>
                <w:color w:val="000000"/>
                <w:sz w:val="20"/>
                <w:szCs w:val="20"/>
                <w:lang w:val="ro-RO"/>
                <w14:ligatures w14:val="none"/>
              </w:rPr>
            </w:pPr>
            <w:r w:rsidRPr="00463FA0">
              <w:rPr>
                <w:b/>
                <w:sz w:val="20"/>
                <w:szCs w:val="20"/>
                <w:lang w:val="ro-RO"/>
              </w:rPr>
              <w:t xml:space="preserve">Obiectivul general 2. Serviciile de ordine și securitate publică aliniate </w:t>
            </w:r>
            <w:r w:rsidRPr="00463FA0">
              <w:rPr>
                <w:b/>
                <w:color w:val="000000" w:themeColor="text1"/>
                <w:sz w:val="20"/>
                <w:szCs w:val="20"/>
                <w:lang w:val="ro-RO"/>
              </w:rPr>
              <w:t xml:space="preserve">la principiile </w:t>
            </w:r>
            <w:r w:rsidRPr="00463FA0">
              <w:rPr>
                <w:b/>
                <w:sz w:val="20"/>
                <w:szCs w:val="20"/>
                <w:lang w:val="ro-RO"/>
              </w:rPr>
              <w:t>drepturilor omului</w:t>
            </w:r>
          </w:p>
        </w:tc>
      </w:tr>
      <w:tr w:rsidR="00CB1061" w:rsidRPr="000C6E07" w14:paraId="1D6E147F" w14:textId="77777777" w:rsidTr="00374037">
        <w:trPr>
          <w:trHeight w:val="87"/>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40AF3AC3" w14:textId="5D84FC73" w:rsidR="00CB1061" w:rsidRPr="000C6E07" w:rsidRDefault="00CB1061" w:rsidP="00CB1061">
            <w:pPr>
              <w:spacing w:after="0"/>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 2</w:t>
            </w:r>
            <w:r w:rsidRPr="00463FA0">
              <w:rPr>
                <w:b/>
                <w:sz w:val="20"/>
                <w:szCs w:val="20"/>
                <w:lang w:val="ro-RO"/>
              </w:rPr>
              <w:t>.</w:t>
            </w:r>
            <w:r>
              <w:rPr>
                <w:b/>
                <w:sz w:val="20"/>
                <w:szCs w:val="20"/>
                <w:lang w:val="ro-RO"/>
              </w:rPr>
              <w:t xml:space="preserve">1. </w:t>
            </w:r>
            <w:r w:rsidRPr="00463FA0">
              <w:rPr>
                <w:rFonts w:eastAsia="Calibri"/>
                <w:b/>
                <w:bCs/>
                <w:color w:val="000000"/>
                <w:sz w:val="20"/>
                <w:szCs w:val="20"/>
                <w:lang w:val="ro-RO" w:eastAsia="ru-RU"/>
              </w:rPr>
              <w:t>Condițiile de prestare a serviciilor de ordine și securitate publică aliniate la standardele drepturilor omului până în anul 2030</w:t>
            </w:r>
          </w:p>
        </w:tc>
      </w:tr>
      <w:tr w:rsidR="00CB1061" w:rsidRPr="000C6E07" w14:paraId="4A00EC1F" w14:textId="77777777" w:rsidTr="006A2852">
        <w:trPr>
          <w:trHeight w:val="1040"/>
        </w:trPr>
        <w:tc>
          <w:tcPr>
            <w:tcW w:w="568" w:type="dxa"/>
            <w:vMerge w:val="restart"/>
            <w:tcBorders>
              <w:top w:val="nil"/>
              <w:left w:val="single" w:sz="4" w:space="0" w:color="auto"/>
              <w:bottom w:val="single" w:sz="4" w:space="0" w:color="auto"/>
              <w:right w:val="single" w:sz="4" w:space="0" w:color="auto"/>
            </w:tcBorders>
            <w:hideMark/>
          </w:tcPr>
          <w:p w14:paraId="2B1D16D5" w14:textId="066E835E"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1601BFD9"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Elaborarea conceptelor privind uniformizarea sediilor </w:t>
            </w:r>
            <w:r w:rsidRPr="000C6E07">
              <w:rPr>
                <w:rFonts w:eastAsia="Times New Roman" w:cs="Times New Roman"/>
                <w:color w:val="000000"/>
                <w:sz w:val="20"/>
                <w:szCs w:val="20"/>
                <w:lang w:val="ro-RO"/>
                <w14:ligatures w14:val="none"/>
              </w:rPr>
              <w:lastRenderedPageBreak/>
              <w:t xml:space="preserve">inspectoratelor de poliție și direcțiilor regionale  </w:t>
            </w:r>
          </w:p>
        </w:tc>
        <w:tc>
          <w:tcPr>
            <w:tcW w:w="1843" w:type="dxa"/>
            <w:tcBorders>
              <w:top w:val="nil"/>
              <w:left w:val="nil"/>
              <w:bottom w:val="single" w:sz="4" w:space="0" w:color="auto"/>
              <w:right w:val="single" w:sz="4" w:space="0" w:color="auto"/>
            </w:tcBorders>
            <w:vAlign w:val="center"/>
            <w:hideMark/>
          </w:tcPr>
          <w:p w14:paraId="5C29B2D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Concept unic al infrastructurii unui inspectorat de poliție (model) aprobat;</w:t>
            </w:r>
          </w:p>
        </w:tc>
        <w:tc>
          <w:tcPr>
            <w:tcW w:w="1026" w:type="dxa"/>
            <w:vMerge w:val="restart"/>
            <w:tcBorders>
              <w:top w:val="nil"/>
              <w:left w:val="single" w:sz="4" w:space="0" w:color="auto"/>
              <w:bottom w:val="single" w:sz="4" w:space="0" w:color="000000"/>
              <w:right w:val="single" w:sz="4" w:space="0" w:color="auto"/>
            </w:tcBorders>
            <w:vAlign w:val="center"/>
            <w:hideMark/>
          </w:tcPr>
          <w:p w14:paraId="46BE8EC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000000"/>
              <w:right w:val="single" w:sz="4" w:space="0" w:color="auto"/>
            </w:tcBorders>
            <w:vAlign w:val="center"/>
            <w:hideMark/>
          </w:tcPr>
          <w:p w14:paraId="1777B29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hideMark/>
          </w:tcPr>
          <w:p w14:paraId="66ADB30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30BA0D4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660A5BCF" w14:textId="6C9D232E"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right w:val="single" w:sz="4" w:space="0" w:color="auto"/>
            </w:tcBorders>
            <w:vAlign w:val="center"/>
            <w:hideMark/>
          </w:tcPr>
          <w:p w14:paraId="7FFD564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34E3C61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p w14:paraId="36710D0F" w14:textId="2134757F"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nil"/>
              <w:right w:val="single" w:sz="4" w:space="0" w:color="auto"/>
            </w:tcBorders>
            <w:vAlign w:val="center"/>
            <w:hideMark/>
          </w:tcPr>
          <w:p w14:paraId="30A3D016"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p w14:paraId="2A0ED1C4" w14:textId="27A23373"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70</w:t>
            </w:r>
          </w:p>
        </w:tc>
        <w:tc>
          <w:tcPr>
            <w:tcW w:w="1000" w:type="dxa"/>
            <w:vMerge w:val="restart"/>
            <w:tcBorders>
              <w:top w:val="nil"/>
              <w:left w:val="single" w:sz="4" w:space="0" w:color="auto"/>
              <w:bottom w:val="single" w:sz="4" w:space="0" w:color="000000"/>
              <w:right w:val="single" w:sz="4" w:space="0" w:color="auto"/>
            </w:tcBorders>
            <w:vAlign w:val="center"/>
            <w:hideMark/>
          </w:tcPr>
          <w:p w14:paraId="1592137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single" w:sz="4" w:space="0" w:color="auto"/>
              <w:bottom w:val="single" w:sz="4" w:space="0" w:color="auto"/>
              <w:right w:val="single" w:sz="4" w:space="0" w:color="auto"/>
            </w:tcBorders>
            <w:vAlign w:val="center"/>
            <w:hideMark/>
          </w:tcPr>
          <w:p w14:paraId="200165B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0A8F5A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CE3DF8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6D03272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000000"/>
              <w:right w:val="single" w:sz="4" w:space="0" w:color="auto"/>
            </w:tcBorders>
            <w:vAlign w:val="center"/>
            <w:hideMark/>
          </w:tcPr>
          <w:p w14:paraId="2D02706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vMerge w:val="restart"/>
            <w:tcBorders>
              <w:top w:val="nil"/>
              <w:left w:val="single" w:sz="4" w:space="0" w:color="auto"/>
              <w:bottom w:val="single" w:sz="4" w:space="0" w:color="000000"/>
              <w:right w:val="single" w:sz="4" w:space="0" w:color="auto"/>
            </w:tcBorders>
            <w:vAlign w:val="center"/>
            <w:hideMark/>
          </w:tcPr>
          <w:p w14:paraId="5279E163"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Ministerul Mediului;</w:t>
            </w:r>
          </w:p>
          <w:p w14:paraId="519E892A" w14:textId="6D63D79D"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lastRenderedPageBreak/>
              <w:t>Ministerul Muncii și Protecției Sociale;</w:t>
            </w:r>
            <w:r w:rsidRPr="000C6E07">
              <w:rPr>
                <w:rFonts w:eastAsia="Times New Roman" w:cs="Times New Roman"/>
                <w:color w:val="000000"/>
                <w:sz w:val="20"/>
                <w:szCs w:val="20"/>
                <w:lang w:val="ro-RO"/>
                <w14:ligatures w14:val="none"/>
              </w:rPr>
              <w:t xml:space="preserve"> Asociația Femeilor din Poliție; Alianța Organizațiilor pentru Persoane cu Dizabilități din Republica Moldova</w:t>
            </w:r>
          </w:p>
        </w:tc>
      </w:tr>
      <w:tr w:rsidR="00CB1061" w:rsidRPr="000C6E07" w14:paraId="44B8A237" w14:textId="77777777" w:rsidTr="006A2852">
        <w:trPr>
          <w:trHeight w:val="520"/>
        </w:trPr>
        <w:tc>
          <w:tcPr>
            <w:tcW w:w="568" w:type="dxa"/>
            <w:vMerge/>
            <w:tcBorders>
              <w:top w:val="nil"/>
              <w:left w:val="single" w:sz="4" w:space="0" w:color="auto"/>
              <w:bottom w:val="single" w:sz="4" w:space="0" w:color="auto"/>
              <w:right w:val="single" w:sz="4" w:space="0" w:color="auto"/>
            </w:tcBorders>
            <w:hideMark/>
          </w:tcPr>
          <w:p w14:paraId="206F2F44"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74FA8C"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6BCCB8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practici prietenoase mediului ambiant incluse;</w:t>
            </w:r>
          </w:p>
        </w:tc>
        <w:tc>
          <w:tcPr>
            <w:tcW w:w="1026" w:type="dxa"/>
            <w:vMerge/>
            <w:tcBorders>
              <w:top w:val="nil"/>
              <w:left w:val="single" w:sz="4" w:space="0" w:color="auto"/>
              <w:bottom w:val="single" w:sz="4" w:space="0" w:color="000000"/>
              <w:right w:val="single" w:sz="4" w:space="0" w:color="auto"/>
            </w:tcBorders>
            <w:vAlign w:val="center"/>
            <w:hideMark/>
          </w:tcPr>
          <w:p w14:paraId="43DA3312"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000000"/>
              <w:right w:val="single" w:sz="4" w:space="0" w:color="auto"/>
            </w:tcBorders>
            <w:vAlign w:val="center"/>
            <w:hideMark/>
          </w:tcPr>
          <w:p w14:paraId="24E618C6"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15" w:type="dxa"/>
            <w:vMerge/>
            <w:tcBorders>
              <w:left w:val="nil"/>
              <w:right w:val="single" w:sz="4" w:space="0" w:color="auto"/>
            </w:tcBorders>
            <w:vAlign w:val="center"/>
            <w:hideMark/>
          </w:tcPr>
          <w:p w14:paraId="2A51389A" w14:textId="2C44CE5E" w:rsidR="00CB1061" w:rsidRPr="000C6E07" w:rsidRDefault="00CB1061" w:rsidP="00CB1061">
            <w:pPr>
              <w:spacing w:after="0"/>
              <w:jc w:val="center"/>
              <w:rPr>
                <w:rFonts w:eastAsia="Times New Roman" w:cs="Times New Roman"/>
                <w:color w:val="000000"/>
                <w:sz w:val="20"/>
                <w:szCs w:val="20"/>
                <w:lang w:val="ro-RO"/>
                <w14:ligatures w14:val="none"/>
              </w:rPr>
            </w:pPr>
          </w:p>
        </w:tc>
        <w:tc>
          <w:tcPr>
            <w:tcW w:w="922" w:type="dxa"/>
            <w:vMerge/>
            <w:tcBorders>
              <w:left w:val="nil"/>
              <w:right w:val="single" w:sz="4" w:space="0" w:color="auto"/>
            </w:tcBorders>
            <w:vAlign w:val="center"/>
            <w:hideMark/>
          </w:tcPr>
          <w:p w14:paraId="08F5292A" w14:textId="74A52EB2"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182" w:type="dxa"/>
            <w:vMerge/>
            <w:tcBorders>
              <w:left w:val="nil"/>
              <w:right w:val="single" w:sz="4" w:space="0" w:color="auto"/>
            </w:tcBorders>
            <w:vAlign w:val="center"/>
            <w:hideMark/>
          </w:tcPr>
          <w:p w14:paraId="4038F318" w14:textId="53A92A40"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63D2BA74"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647F31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144C7D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6B355D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8F06DE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000000"/>
              <w:right w:val="single" w:sz="4" w:space="0" w:color="auto"/>
            </w:tcBorders>
            <w:vAlign w:val="center"/>
            <w:hideMark/>
          </w:tcPr>
          <w:p w14:paraId="5AB3E54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426F5910"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6E9BBCF3" w14:textId="77777777" w:rsidTr="006A2852">
        <w:trPr>
          <w:trHeight w:val="1300"/>
        </w:trPr>
        <w:tc>
          <w:tcPr>
            <w:tcW w:w="568" w:type="dxa"/>
            <w:vMerge/>
            <w:tcBorders>
              <w:top w:val="nil"/>
              <w:left w:val="single" w:sz="4" w:space="0" w:color="auto"/>
              <w:bottom w:val="single" w:sz="4" w:space="0" w:color="auto"/>
              <w:right w:val="single" w:sz="4" w:space="0" w:color="auto"/>
            </w:tcBorders>
            <w:hideMark/>
          </w:tcPr>
          <w:p w14:paraId="7A33E4EE"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3E26D3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0844FB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criterii de gen și accesibilitate pentru persoane cu nevoi speciale locomotorii incluse</w:t>
            </w:r>
          </w:p>
        </w:tc>
        <w:tc>
          <w:tcPr>
            <w:tcW w:w="1026" w:type="dxa"/>
            <w:vMerge/>
            <w:tcBorders>
              <w:top w:val="nil"/>
              <w:left w:val="single" w:sz="4" w:space="0" w:color="auto"/>
              <w:bottom w:val="single" w:sz="4" w:space="0" w:color="000000"/>
              <w:right w:val="single" w:sz="4" w:space="0" w:color="auto"/>
            </w:tcBorders>
            <w:vAlign w:val="center"/>
            <w:hideMark/>
          </w:tcPr>
          <w:p w14:paraId="3EF2E191"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000000"/>
              <w:right w:val="single" w:sz="4" w:space="0" w:color="auto"/>
            </w:tcBorders>
            <w:vAlign w:val="center"/>
            <w:hideMark/>
          </w:tcPr>
          <w:p w14:paraId="06C45976"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15" w:type="dxa"/>
            <w:vMerge/>
            <w:tcBorders>
              <w:left w:val="nil"/>
              <w:bottom w:val="single" w:sz="4" w:space="0" w:color="auto"/>
              <w:right w:val="single" w:sz="4" w:space="0" w:color="auto"/>
            </w:tcBorders>
            <w:vAlign w:val="center"/>
            <w:hideMark/>
          </w:tcPr>
          <w:p w14:paraId="35A8B8EB" w14:textId="56BAC6A3" w:rsidR="00CB1061" w:rsidRPr="000C6E07" w:rsidRDefault="00CB1061" w:rsidP="00CB1061">
            <w:pPr>
              <w:spacing w:after="0"/>
              <w:jc w:val="center"/>
              <w:rPr>
                <w:rFonts w:eastAsia="Times New Roman" w:cs="Times New Roman"/>
                <w:color w:val="000000"/>
                <w:sz w:val="20"/>
                <w:szCs w:val="20"/>
                <w:lang w:val="ro-RO"/>
                <w14:ligatures w14:val="none"/>
              </w:rPr>
            </w:pPr>
          </w:p>
        </w:tc>
        <w:tc>
          <w:tcPr>
            <w:tcW w:w="922" w:type="dxa"/>
            <w:vMerge/>
            <w:tcBorders>
              <w:left w:val="nil"/>
              <w:bottom w:val="single" w:sz="4" w:space="0" w:color="auto"/>
              <w:right w:val="single" w:sz="4" w:space="0" w:color="auto"/>
            </w:tcBorders>
            <w:vAlign w:val="center"/>
            <w:hideMark/>
          </w:tcPr>
          <w:p w14:paraId="24CAD9ED" w14:textId="5476F82B"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182" w:type="dxa"/>
            <w:vMerge/>
            <w:tcBorders>
              <w:left w:val="nil"/>
              <w:bottom w:val="single" w:sz="4" w:space="0" w:color="auto"/>
              <w:right w:val="single" w:sz="4" w:space="0" w:color="auto"/>
            </w:tcBorders>
            <w:vAlign w:val="center"/>
            <w:hideMark/>
          </w:tcPr>
          <w:p w14:paraId="151728AD" w14:textId="48C8B11A"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000000"/>
              <w:right w:val="single" w:sz="4" w:space="0" w:color="auto"/>
            </w:tcBorders>
            <w:vAlign w:val="center"/>
            <w:hideMark/>
          </w:tcPr>
          <w:p w14:paraId="34802494"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308104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5765CE8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7B0331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DA48F03"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000000"/>
              <w:right w:val="single" w:sz="4" w:space="0" w:color="auto"/>
            </w:tcBorders>
            <w:vAlign w:val="center"/>
            <w:hideMark/>
          </w:tcPr>
          <w:p w14:paraId="6D0F2C9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7A2EC07F"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7CC69949"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67AC9702"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32A14BF"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06AC83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 unic al infrastructurii direcției regionale aprobat; practici prietenoase mediului ambiant incluse;</w:t>
            </w:r>
          </w:p>
        </w:tc>
        <w:tc>
          <w:tcPr>
            <w:tcW w:w="1026" w:type="dxa"/>
            <w:vMerge w:val="restart"/>
            <w:tcBorders>
              <w:top w:val="nil"/>
              <w:left w:val="single" w:sz="4" w:space="0" w:color="auto"/>
              <w:bottom w:val="single" w:sz="4" w:space="0" w:color="auto"/>
              <w:right w:val="single" w:sz="4" w:space="0" w:color="auto"/>
            </w:tcBorders>
            <w:vAlign w:val="center"/>
            <w:hideMark/>
          </w:tcPr>
          <w:p w14:paraId="7B90B8B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single" w:sz="4" w:space="0" w:color="auto"/>
              <w:bottom w:val="single" w:sz="4" w:space="0" w:color="auto"/>
              <w:right w:val="single" w:sz="4" w:space="0" w:color="auto"/>
            </w:tcBorders>
            <w:vAlign w:val="center"/>
            <w:hideMark/>
          </w:tcPr>
          <w:p w14:paraId="7A0BBF5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single" w:sz="4" w:space="0" w:color="auto"/>
              <w:bottom w:val="single" w:sz="4" w:space="0" w:color="auto"/>
              <w:right w:val="single" w:sz="4" w:space="0" w:color="auto"/>
            </w:tcBorders>
            <w:vAlign w:val="center"/>
            <w:hideMark/>
          </w:tcPr>
          <w:p w14:paraId="2FB84B8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4C36CC5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7D263575"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p w14:paraId="3BBD1DBC" w14:textId="77777777"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70</w:t>
            </w:r>
          </w:p>
          <w:p w14:paraId="6D4B06D1" w14:textId="35F36F2F"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90</w:t>
            </w:r>
          </w:p>
        </w:tc>
        <w:tc>
          <w:tcPr>
            <w:tcW w:w="1000" w:type="dxa"/>
            <w:vMerge w:val="restart"/>
            <w:tcBorders>
              <w:top w:val="nil"/>
              <w:left w:val="single" w:sz="4" w:space="0" w:color="auto"/>
              <w:bottom w:val="single" w:sz="4" w:space="0" w:color="auto"/>
              <w:right w:val="single" w:sz="4" w:space="0" w:color="auto"/>
            </w:tcBorders>
            <w:vAlign w:val="center"/>
            <w:hideMark/>
          </w:tcPr>
          <w:p w14:paraId="7251638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single" w:sz="4" w:space="0" w:color="auto"/>
              <w:bottom w:val="single" w:sz="4" w:space="0" w:color="auto"/>
              <w:right w:val="single" w:sz="4" w:space="0" w:color="auto"/>
            </w:tcBorders>
            <w:vAlign w:val="center"/>
            <w:hideMark/>
          </w:tcPr>
          <w:p w14:paraId="3763352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3FA617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677B208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99C8BC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05AB20D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vMerge/>
            <w:tcBorders>
              <w:top w:val="nil"/>
              <w:left w:val="single" w:sz="4" w:space="0" w:color="auto"/>
              <w:bottom w:val="single" w:sz="4" w:space="0" w:color="000000"/>
              <w:right w:val="single" w:sz="4" w:space="0" w:color="auto"/>
            </w:tcBorders>
            <w:vAlign w:val="center"/>
            <w:hideMark/>
          </w:tcPr>
          <w:p w14:paraId="1118BAE5"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50104AD7"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69F38B44"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F32926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12269BE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criterii de gen și accesibilitate pentru persoane cu nevoi speciale locomotorii incluse</w:t>
            </w:r>
          </w:p>
        </w:tc>
        <w:tc>
          <w:tcPr>
            <w:tcW w:w="1026" w:type="dxa"/>
            <w:vMerge/>
            <w:tcBorders>
              <w:top w:val="nil"/>
              <w:left w:val="single" w:sz="4" w:space="0" w:color="auto"/>
              <w:bottom w:val="single" w:sz="4" w:space="0" w:color="auto"/>
              <w:right w:val="single" w:sz="4" w:space="0" w:color="auto"/>
            </w:tcBorders>
            <w:vAlign w:val="center"/>
            <w:hideMark/>
          </w:tcPr>
          <w:p w14:paraId="6E37F91B"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745C7B3D"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15" w:type="dxa"/>
            <w:vMerge/>
            <w:tcBorders>
              <w:top w:val="nil"/>
              <w:left w:val="single" w:sz="4" w:space="0" w:color="auto"/>
              <w:bottom w:val="single" w:sz="4" w:space="0" w:color="auto"/>
              <w:right w:val="single" w:sz="4" w:space="0" w:color="auto"/>
            </w:tcBorders>
            <w:vAlign w:val="center"/>
            <w:hideMark/>
          </w:tcPr>
          <w:p w14:paraId="1AF0CBDF"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22C9F577"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38DAACB3"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8201A08"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29377ED"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2E6CA2D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8AF6FC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1D606AE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16F1130E"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3974C758"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7968A894" w14:textId="77777777" w:rsidTr="00C4074D">
        <w:trPr>
          <w:trHeight w:val="2493"/>
        </w:trPr>
        <w:tc>
          <w:tcPr>
            <w:tcW w:w="568" w:type="dxa"/>
            <w:vMerge w:val="restart"/>
            <w:tcBorders>
              <w:top w:val="nil"/>
              <w:left w:val="single" w:sz="4" w:space="0" w:color="auto"/>
              <w:bottom w:val="single" w:sz="4" w:space="0" w:color="auto"/>
              <w:right w:val="single" w:sz="4" w:space="0" w:color="auto"/>
            </w:tcBorders>
            <w:hideMark/>
          </w:tcPr>
          <w:p w14:paraId="1C140C13" w14:textId="346CB0D3"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000000"/>
              <w:right w:val="single" w:sz="4" w:space="0" w:color="auto"/>
            </w:tcBorders>
            <w:hideMark/>
          </w:tcPr>
          <w:p w14:paraId="481FF2F1"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Renovarea și accesibilizarea sediilor structurilor de ordine și securitate publică conform nevoilor persoanelor cu </w:t>
            </w:r>
            <w:r w:rsidRPr="000C6E07">
              <w:rPr>
                <w:rFonts w:eastAsia="Times New Roman" w:cs="Times New Roman"/>
                <w:color w:val="000000"/>
                <w:sz w:val="20"/>
                <w:szCs w:val="20"/>
                <w:lang w:val="ro-RO"/>
                <w14:ligatures w14:val="none"/>
              </w:rPr>
              <w:lastRenderedPageBreak/>
              <w:t>diverse tipuri de dizabilități și ale altor categorii vulnerabile</w:t>
            </w:r>
          </w:p>
        </w:tc>
        <w:tc>
          <w:tcPr>
            <w:tcW w:w="1843" w:type="dxa"/>
            <w:vMerge w:val="restart"/>
            <w:tcBorders>
              <w:top w:val="nil"/>
              <w:left w:val="single" w:sz="4" w:space="0" w:color="auto"/>
              <w:bottom w:val="single" w:sz="4" w:space="0" w:color="auto"/>
              <w:right w:val="single" w:sz="4" w:space="0" w:color="auto"/>
            </w:tcBorders>
            <w:vAlign w:val="center"/>
            <w:hideMark/>
          </w:tcPr>
          <w:p w14:paraId="0CB7F0A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 xml:space="preserve">Minimum 28 de sedii renovate (9 inspectorate de poliție, 15 sectoare de poliție, 4 sedii ale Inspectoratului General de Carabinieri), inclusiv 36 de spații destinate garantării </w:t>
            </w:r>
            <w:r w:rsidRPr="000C6E07">
              <w:rPr>
                <w:rFonts w:eastAsia="Times New Roman" w:cs="Times New Roman"/>
                <w:color w:val="000000"/>
                <w:sz w:val="20"/>
                <w:szCs w:val="20"/>
                <w:lang w:val="ro-RO"/>
                <w14:ligatures w14:val="none"/>
              </w:rPr>
              <w:lastRenderedPageBreak/>
              <w:t>respectării drepturilor persoanelor în cadrul procedurilor desfășurate de Poliție (celule de tranzit, camere de audiere, recunoaștere, întrevedere confidențială)</w:t>
            </w:r>
          </w:p>
        </w:tc>
        <w:tc>
          <w:tcPr>
            <w:tcW w:w="1026" w:type="dxa"/>
            <w:tcBorders>
              <w:top w:val="nil"/>
              <w:left w:val="nil"/>
              <w:bottom w:val="single" w:sz="4" w:space="0" w:color="auto"/>
              <w:right w:val="single" w:sz="4" w:space="0" w:color="auto"/>
            </w:tcBorders>
            <w:vAlign w:val="center"/>
            <w:hideMark/>
          </w:tcPr>
          <w:p w14:paraId="0798F09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292.690,3</w:t>
            </w:r>
          </w:p>
        </w:tc>
        <w:tc>
          <w:tcPr>
            <w:tcW w:w="1100" w:type="dxa"/>
            <w:tcBorders>
              <w:top w:val="nil"/>
              <w:left w:val="nil"/>
              <w:bottom w:val="single" w:sz="4" w:space="0" w:color="auto"/>
              <w:right w:val="single" w:sz="4" w:space="0" w:color="auto"/>
            </w:tcBorders>
            <w:vAlign w:val="center"/>
            <w:hideMark/>
          </w:tcPr>
          <w:p w14:paraId="1153BA1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292.690,3</w:t>
            </w:r>
          </w:p>
        </w:tc>
        <w:tc>
          <w:tcPr>
            <w:tcW w:w="1015" w:type="dxa"/>
            <w:tcBorders>
              <w:top w:val="nil"/>
              <w:left w:val="nil"/>
              <w:bottom w:val="single" w:sz="4" w:space="0" w:color="auto"/>
              <w:right w:val="single" w:sz="4" w:space="0" w:color="auto"/>
            </w:tcBorders>
            <w:vAlign w:val="center"/>
            <w:hideMark/>
          </w:tcPr>
          <w:p w14:paraId="5416ABE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04CE2C9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4925F7E" w14:textId="5677DF8C"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E666A8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80.549,0</w:t>
            </w:r>
          </w:p>
        </w:tc>
        <w:tc>
          <w:tcPr>
            <w:tcW w:w="1000" w:type="dxa"/>
            <w:tcBorders>
              <w:top w:val="nil"/>
              <w:left w:val="nil"/>
              <w:bottom w:val="single" w:sz="4" w:space="0" w:color="auto"/>
              <w:right w:val="single" w:sz="4" w:space="0" w:color="auto"/>
            </w:tcBorders>
            <w:vAlign w:val="center"/>
            <w:hideMark/>
          </w:tcPr>
          <w:p w14:paraId="2A11530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84.134,3</w:t>
            </w:r>
          </w:p>
        </w:tc>
        <w:tc>
          <w:tcPr>
            <w:tcW w:w="1000" w:type="dxa"/>
            <w:tcBorders>
              <w:top w:val="nil"/>
              <w:left w:val="nil"/>
              <w:bottom w:val="single" w:sz="4" w:space="0" w:color="auto"/>
              <w:right w:val="single" w:sz="4" w:space="0" w:color="auto"/>
            </w:tcBorders>
            <w:vAlign w:val="center"/>
            <w:hideMark/>
          </w:tcPr>
          <w:p w14:paraId="75A9E2F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57.824,0</w:t>
            </w:r>
          </w:p>
        </w:tc>
        <w:tc>
          <w:tcPr>
            <w:tcW w:w="1000" w:type="dxa"/>
            <w:tcBorders>
              <w:top w:val="nil"/>
              <w:left w:val="nil"/>
              <w:bottom w:val="single" w:sz="4" w:space="0" w:color="auto"/>
              <w:right w:val="single" w:sz="4" w:space="0" w:color="auto"/>
            </w:tcBorders>
            <w:vAlign w:val="center"/>
            <w:hideMark/>
          </w:tcPr>
          <w:p w14:paraId="11741D6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70.183,0</w:t>
            </w:r>
          </w:p>
        </w:tc>
        <w:tc>
          <w:tcPr>
            <w:tcW w:w="1000" w:type="dxa"/>
            <w:vMerge w:val="restart"/>
            <w:tcBorders>
              <w:top w:val="nil"/>
              <w:left w:val="single" w:sz="4" w:space="0" w:color="auto"/>
              <w:bottom w:val="single" w:sz="4" w:space="0" w:color="000000"/>
              <w:right w:val="single" w:sz="4" w:space="0" w:color="auto"/>
            </w:tcBorders>
            <w:vAlign w:val="center"/>
            <w:hideMark/>
          </w:tcPr>
          <w:p w14:paraId="2E97E66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146E16C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vMerge w:val="restart"/>
            <w:tcBorders>
              <w:top w:val="nil"/>
              <w:left w:val="single" w:sz="4" w:space="0" w:color="auto"/>
              <w:bottom w:val="single" w:sz="4" w:space="0" w:color="000000"/>
              <w:right w:val="single" w:sz="4" w:space="0" w:color="auto"/>
            </w:tcBorders>
            <w:vAlign w:val="center"/>
            <w:hideMark/>
          </w:tcPr>
          <w:p w14:paraId="5E6C3CE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Ministerul Mediului; Asociația Femeilor din Poliție; Alianța Organizații</w:t>
            </w:r>
            <w:r w:rsidRPr="000C6E07">
              <w:rPr>
                <w:rFonts w:eastAsia="Times New Roman" w:cs="Times New Roman"/>
                <w:color w:val="000000"/>
                <w:sz w:val="20"/>
                <w:szCs w:val="20"/>
                <w:lang w:val="ro-RO"/>
                <w14:ligatures w14:val="none"/>
              </w:rPr>
              <w:lastRenderedPageBreak/>
              <w:t>lor pentru Persoane cu Dizabilități din Republica Moldova; Asociația „Motivație”;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w:t>
            </w:r>
          </w:p>
        </w:tc>
      </w:tr>
      <w:tr w:rsidR="00CB1061" w:rsidRPr="000C6E07" w14:paraId="032F06A3" w14:textId="77777777" w:rsidTr="005F300A">
        <w:trPr>
          <w:trHeight w:val="290"/>
        </w:trPr>
        <w:tc>
          <w:tcPr>
            <w:tcW w:w="568" w:type="dxa"/>
            <w:vMerge/>
            <w:tcBorders>
              <w:top w:val="nil"/>
              <w:left w:val="single" w:sz="4" w:space="0" w:color="auto"/>
              <w:bottom w:val="single" w:sz="4" w:space="0" w:color="auto"/>
              <w:right w:val="single" w:sz="4" w:space="0" w:color="auto"/>
            </w:tcBorders>
            <w:hideMark/>
          </w:tcPr>
          <w:p w14:paraId="3F1826FC"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1C9C56B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14:paraId="34B72A5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71DFCAC7" w14:textId="77777777" w:rsidR="00CB1061" w:rsidRPr="005F300A" w:rsidRDefault="00CB1061" w:rsidP="00CB1061">
            <w:pPr>
              <w:spacing w:after="0"/>
              <w:jc w:val="center"/>
              <w:rPr>
                <w:rFonts w:eastAsia="Times New Roman" w:cs="Times New Roman"/>
                <w:color w:val="0070C0"/>
                <w:sz w:val="20"/>
                <w:szCs w:val="20"/>
                <w:lang w:val="ro-RO"/>
                <w14:ligatures w14:val="none"/>
              </w:rPr>
            </w:pPr>
            <w:r w:rsidRPr="005F300A">
              <w:rPr>
                <w:rFonts w:eastAsia="Times New Roman" w:cs="Times New Roman"/>
                <w:color w:val="0070C0"/>
                <w:sz w:val="20"/>
                <w:szCs w:val="20"/>
                <w:lang w:val="ro-RO"/>
                <w14:ligatures w14:val="none"/>
              </w:rPr>
              <w:t>32.000,0</w:t>
            </w:r>
          </w:p>
        </w:tc>
        <w:tc>
          <w:tcPr>
            <w:tcW w:w="1100" w:type="dxa"/>
            <w:tcBorders>
              <w:top w:val="nil"/>
              <w:left w:val="nil"/>
              <w:bottom w:val="single" w:sz="4" w:space="0" w:color="auto"/>
              <w:right w:val="single" w:sz="4" w:space="0" w:color="auto"/>
            </w:tcBorders>
            <w:vAlign w:val="center"/>
            <w:hideMark/>
          </w:tcPr>
          <w:p w14:paraId="31733492" w14:textId="77777777" w:rsidR="00CB1061" w:rsidRPr="005F300A" w:rsidRDefault="00CB1061" w:rsidP="00CB1061">
            <w:pPr>
              <w:spacing w:after="0"/>
              <w:jc w:val="center"/>
              <w:rPr>
                <w:rFonts w:eastAsia="Times New Roman" w:cs="Times New Roman"/>
                <w:color w:val="0070C0"/>
                <w:sz w:val="20"/>
                <w:szCs w:val="20"/>
                <w:lang w:val="ro-RO"/>
                <w14:ligatures w14:val="none"/>
              </w:rPr>
            </w:pPr>
            <w:r w:rsidRPr="005F300A">
              <w:rPr>
                <w:rFonts w:eastAsia="Times New Roman" w:cs="Times New Roman"/>
                <w:color w:val="0070C0"/>
                <w:sz w:val="20"/>
                <w:szCs w:val="20"/>
                <w:lang w:val="ro-RO"/>
                <w14:ligatures w14:val="none"/>
              </w:rPr>
              <w:t>32.000,0</w:t>
            </w:r>
          </w:p>
        </w:tc>
        <w:tc>
          <w:tcPr>
            <w:tcW w:w="1015" w:type="dxa"/>
            <w:tcBorders>
              <w:top w:val="nil"/>
              <w:left w:val="nil"/>
              <w:bottom w:val="single" w:sz="4" w:space="0" w:color="auto"/>
              <w:right w:val="single" w:sz="4" w:space="0" w:color="auto"/>
            </w:tcBorders>
            <w:vAlign w:val="center"/>
            <w:hideMark/>
          </w:tcPr>
          <w:p w14:paraId="2BB49DAE" w14:textId="77777777" w:rsidR="00CB1061" w:rsidRPr="005F300A" w:rsidRDefault="00CB1061" w:rsidP="00CB1061">
            <w:pPr>
              <w:spacing w:after="0"/>
              <w:jc w:val="center"/>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4B11F17B" w14:textId="77777777" w:rsidR="00CB1061" w:rsidRPr="005F300A" w:rsidRDefault="00CB1061" w:rsidP="00CB1061">
            <w:pPr>
              <w:spacing w:after="0"/>
              <w:jc w:val="center"/>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A69CA49" w14:textId="77777777" w:rsidR="00CB1061" w:rsidRPr="005F300A" w:rsidRDefault="00CB1061" w:rsidP="00CB1061">
            <w:pPr>
              <w:spacing w:after="0"/>
              <w:jc w:val="center"/>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17821AC1" w14:textId="77777777" w:rsidR="00CB1061" w:rsidRPr="005F300A" w:rsidRDefault="00CB1061" w:rsidP="00CB1061">
            <w:pPr>
              <w:spacing w:after="0"/>
              <w:jc w:val="center"/>
              <w:rPr>
                <w:rFonts w:eastAsia="Times New Roman" w:cs="Times New Roman"/>
                <w:color w:val="0070C0"/>
                <w:sz w:val="20"/>
                <w:szCs w:val="20"/>
                <w:lang w:val="ro-RO"/>
                <w14:ligatures w14:val="none"/>
              </w:rPr>
            </w:pPr>
            <w:r w:rsidRPr="005F300A">
              <w:rPr>
                <w:rFonts w:eastAsia="Times New Roman" w:cs="Times New Roman"/>
                <w:color w:val="0070C0"/>
                <w:sz w:val="20"/>
                <w:szCs w:val="20"/>
                <w:lang w:val="ro-RO"/>
                <w14:ligatures w14:val="none"/>
              </w:rPr>
              <w:t>8.000,0</w:t>
            </w:r>
          </w:p>
        </w:tc>
        <w:tc>
          <w:tcPr>
            <w:tcW w:w="1000" w:type="dxa"/>
            <w:tcBorders>
              <w:top w:val="nil"/>
              <w:left w:val="nil"/>
              <w:bottom w:val="single" w:sz="4" w:space="0" w:color="auto"/>
              <w:right w:val="single" w:sz="4" w:space="0" w:color="auto"/>
            </w:tcBorders>
            <w:vAlign w:val="center"/>
            <w:hideMark/>
          </w:tcPr>
          <w:p w14:paraId="7549157B" w14:textId="77777777" w:rsidR="00CB1061" w:rsidRPr="005F300A" w:rsidRDefault="00CB1061" w:rsidP="00CB1061">
            <w:pPr>
              <w:spacing w:after="0"/>
              <w:jc w:val="center"/>
              <w:rPr>
                <w:rFonts w:eastAsia="Times New Roman" w:cs="Times New Roman"/>
                <w:color w:val="0070C0"/>
                <w:sz w:val="20"/>
                <w:szCs w:val="20"/>
                <w:lang w:val="ro-RO"/>
                <w14:ligatures w14:val="none"/>
              </w:rPr>
            </w:pPr>
            <w:r w:rsidRPr="005F300A">
              <w:rPr>
                <w:rFonts w:eastAsia="Times New Roman" w:cs="Times New Roman"/>
                <w:color w:val="0070C0"/>
                <w:sz w:val="20"/>
                <w:szCs w:val="20"/>
                <w:lang w:val="ro-RO"/>
                <w14:ligatures w14:val="none"/>
              </w:rPr>
              <w:t>8.000,0</w:t>
            </w:r>
          </w:p>
        </w:tc>
        <w:tc>
          <w:tcPr>
            <w:tcW w:w="1000" w:type="dxa"/>
            <w:tcBorders>
              <w:top w:val="nil"/>
              <w:left w:val="nil"/>
              <w:bottom w:val="single" w:sz="4" w:space="0" w:color="auto"/>
              <w:right w:val="single" w:sz="4" w:space="0" w:color="auto"/>
            </w:tcBorders>
            <w:vAlign w:val="center"/>
            <w:hideMark/>
          </w:tcPr>
          <w:p w14:paraId="0FCA18CE" w14:textId="77777777" w:rsidR="00CB1061" w:rsidRPr="005F300A" w:rsidRDefault="00CB1061" w:rsidP="00CB1061">
            <w:pPr>
              <w:spacing w:after="0"/>
              <w:jc w:val="center"/>
              <w:rPr>
                <w:rFonts w:eastAsia="Times New Roman" w:cs="Times New Roman"/>
                <w:color w:val="0070C0"/>
                <w:sz w:val="20"/>
                <w:szCs w:val="20"/>
                <w:lang w:val="ro-RO"/>
                <w14:ligatures w14:val="none"/>
              </w:rPr>
            </w:pPr>
            <w:r w:rsidRPr="005F300A">
              <w:rPr>
                <w:rFonts w:eastAsia="Times New Roman" w:cs="Times New Roman"/>
                <w:color w:val="0070C0"/>
                <w:sz w:val="20"/>
                <w:szCs w:val="20"/>
                <w:lang w:val="ro-RO"/>
                <w14:ligatures w14:val="none"/>
              </w:rPr>
              <w:t>8.000,0</w:t>
            </w:r>
          </w:p>
        </w:tc>
        <w:tc>
          <w:tcPr>
            <w:tcW w:w="1000" w:type="dxa"/>
            <w:tcBorders>
              <w:top w:val="nil"/>
              <w:left w:val="nil"/>
              <w:bottom w:val="single" w:sz="4" w:space="0" w:color="auto"/>
              <w:right w:val="single" w:sz="4" w:space="0" w:color="auto"/>
            </w:tcBorders>
            <w:vAlign w:val="center"/>
            <w:hideMark/>
          </w:tcPr>
          <w:p w14:paraId="572659E5" w14:textId="77777777" w:rsidR="00CB1061" w:rsidRPr="005F300A" w:rsidRDefault="00CB1061" w:rsidP="00CB1061">
            <w:pPr>
              <w:spacing w:after="0"/>
              <w:jc w:val="center"/>
              <w:rPr>
                <w:rFonts w:eastAsia="Times New Roman" w:cs="Times New Roman"/>
                <w:color w:val="0070C0"/>
                <w:sz w:val="20"/>
                <w:szCs w:val="20"/>
                <w:lang w:val="ro-RO"/>
                <w14:ligatures w14:val="none"/>
              </w:rPr>
            </w:pPr>
            <w:r w:rsidRPr="005F300A">
              <w:rPr>
                <w:rFonts w:eastAsia="Times New Roman" w:cs="Times New Roman"/>
                <w:color w:val="0070C0"/>
                <w:sz w:val="20"/>
                <w:szCs w:val="20"/>
                <w:lang w:val="ro-RO"/>
                <w14:ligatures w14:val="none"/>
              </w:rPr>
              <w:t>8.000,0</w:t>
            </w:r>
          </w:p>
        </w:tc>
        <w:tc>
          <w:tcPr>
            <w:tcW w:w="1000" w:type="dxa"/>
            <w:vMerge/>
            <w:tcBorders>
              <w:top w:val="nil"/>
              <w:left w:val="single" w:sz="4" w:space="0" w:color="auto"/>
              <w:bottom w:val="single" w:sz="4" w:space="0" w:color="000000"/>
              <w:right w:val="single" w:sz="4" w:space="0" w:color="auto"/>
            </w:tcBorders>
            <w:vAlign w:val="center"/>
            <w:hideMark/>
          </w:tcPr>
          <w:p w14:paraId="755395D5"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22A7FEF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21EC596A"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5D3F4A52"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3E1E477F"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2AA9BA6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C60645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15 izolatoare de detenție provizorie dotate cu detectoare de metal staționare; </w:t>
            </w:r>
          </w:p>
        </w:tc>
        <w:tc>
          <w:tcPr>
            <w:tcW w:w="1026" w:type="dxa"/>
            <w:tcBorders>
              <w:top w:val="nil"/>
              <w:left w:val="nil"/>
              <w:bottom w:val="single" w:sz="4" w:space="0" w:color="auto"/>
              <w:right w:val="single" w:sz="4" w:space="0" w:color="auto"/>
            </w:tcBorders>
            <w:vAlign w:val="center"/>
            <w:hideMark/>
          </w:tcPr>
          <w:p w14:paraId="28F671E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1.332,0</w:t>
            </w:r>
          </w:p>
        </w:tc>
        <w:tc>
          <w:tcPr>
            <w:tcW w:w="1100" w:type="dxa"/>
            <w:tcBorders>
              <w:top w:val="nil"/>
              <w:left w:val="nil"/>
              <w:bottom w:val="single" w:sz="4" w:space="0" w:color="auto"/>
              <w:right w:val="single" w:sz="4" w:space="0" w:color="auto"/>
            </w:tcBorders>
            <w:vAlign w:val="center"/>
            <w:hideMark/>
          </w:tcPr>
          <w:p w14:paraId="117BFD3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1.332,0</w:t>
            </w:r>
          </w:p>
        </w:tc>
        <w:tc>
          <w:tcPr>
            <w:tcW w:w="1015" w:type="dxa"/>
            <w:tcBorders>
              <w:top w:val="nil"/>
              <w:left w:val="nil"/>
              <w:bottom w:val="single" w:sz="4" w:space="0" w:color="auto"/>
              <w:right w:val="single" w:sz="4" w:space="0" w:color="auto"/>
            </w:tcBorders>
            <w:vAlign w:val="center"/>
            <w:hideMark/>
          </w:tcPr>
          <w:p w14:paraId="5CADE21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5C7BEF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AF6A49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5314DC9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25E8AD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1.200,0</w:t>
            </w:r>
          </w:p>
        </w:tc>
        <w:tc>
          <w:tcPr>
            <w:tcW w:w="1000" w:type="dxa"/>
            <w:tcBorders>
              <w:top w:val="nil"/>
              <w:left w:val="nil"/>
              <w:bottom w:val="single" w:sz="4" w:space="0" w:color="auto"/>
              <w:right w:val="single" w:sz="4" w:space="0" w:color="auto"/>
            </w:tcBorders>
            <w:vAlign w:val="center"/>
            <w:hideMark/>
          </w:tcPr>
          <w:p w14:paraId="6001C7C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132,0</w:t>
            </w:r>
          </w:p>
        </w:tc>
        <w:tc>
          <w:tcPr>
            <w:tcW w:w="1000" w:type="dxa"/>
            <w:tcBorders>
              <w:top w:val="nil"/>
              <w:left w:val="nil"/>
              <w:bottom w:val="single" w:sz="4" w:space="0" w:color="auto"/>
              <w:right w:val="single" w:sz="4" w:space="0" w:color="auto"/>
            </w:tcBorders>
            <w:vAlign w:val="center"/>
            <w:hideMark/>
          </w:tcPr>
          <w:p w14:paraId="3F59FD6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tcBorders>
              <w:top w:val="nil"/>
              <w:left w:val="single" w:sz="4" w:space="0" w:color="auto"/>
              <w:bottom w:val="single" w:sz="4" w:space="0" w:color="000000"/>
              <w:right w:val="single" w:sz="4" w:space="0" w:color="auto"/>
            </w:tcBorders>
            <w:vAlign w:val="center"/>
            <w:hideMark/>
          </w:tcPr>
          <w:p w14:paraId="7A5C1A28" w14:textId="77777777" w:rsidR="00CB1061" w:rsidRPr="000C6E07" w:rsidRDefault="00CB1061" w:rsidP="00CB1061">
            <w:pPr>
              <w:spacing w:after="0"/>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hideMark/>
          </w:tcPr>
          <w:p w14:paraId="3A646F6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3A11F05F"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6C3D7F7D" w14:textId="77777777" w:rsidTr="00A5450C">
        <w:trPr>
          <w:trHeight w:val="2401"/>
        </w:trPr>
        <w:tc>
          <w:tcPr>
            <w:tcW w:w="568" w:type="dxa"/>
            <w:vMerge w:val="restart"/>
            <w:tcBorders>
              <w:top w:val="nil"/>
              <w:left w:val="single" w:sz="4" w:space="0" w:color="auto"/>
              <w:bottom w:val="single" w:sz="4" w:space="0" w:color="auto"/>
              <w:right w:val="single" w:sz="4" w:space="0" w:color="auto"/>
            </w:tcBorders>
            <w:hideMark/>
          </w:tcPr>
          <w:p w14:paraId="60131583" w14:textId="7872DAA1"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nil"/>
              <w:right w:val="single" w:sz="4" w:space="0" w:color="auto"/>
            </w:tcBorders>
            <w:hideMark/>
          </w:tcPr>
          <w:p w14:paraId="7B60492C" w14:textId="77777777" w:rsidR="00CB1061" w:rsidRPr="005F300A" w:rsidRDefault="00CB1061" w:rsidP="00CB1061">
            <w:pPr>
              <w:spacing w:after="0"/>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Prevenirea situațiilor de încălcare a drepturilor omului în interacțiunea cu serviciile de ordine publică</w:t>
            </w:r>
          </w:p>
          <w:p w14:paraId="572D27BE" w14:textId="37E41C10" w:rsidR="00CB1061" w:rsidRPr="005F300A" w:rsidRDefault="00CB1061" w:rsidP="00CB1061">
            <w:pPr>
              <w:spacing w:after="0"/>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 </w:t>
            </w:r>
          </w:p>
        </w:tc>
        <w:tc>
          <w:tcPr>
            <w:tcW w:w="1843" w:type="dxa"/>
            <w:tcBorders>
              <w:top w:val="nil"/>
              <w:left w:val="nil"/>
              <w:bottom w:val="single" w:sz="4" w:space="0" w:color="auto"/>
              <w:right w:val="single" w:sz="4" w:space="0" w:color="auto"/>
            </w:tcBorders>
            <w:vAlign w:val="center"/>
            <w:hideMark/>
          </w:tcPr>
          <w:p w14:paraId="7A5A861A" w14:textId="566EA825" w:rsidR="00CB1061" w:rsidRPr="005F300A" w:rsidRDefault="00CB1061" w:rsidP="00CB1061">
            <w:pPr>
              <w:spacing w:after="0"/>
              <w:jc w:val="center"/>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 xml:space="preserve">Ghidul privind intervenția profesională în exercițiul funcției aprobat prin Ordinul interdepartamental nr. 4/44/17-0/6/1/4/2018 ajustat la cerințele grupurilor vulnerabile și completat cu tactici de bază conform practicilor UE (Poliției Suedeze) </w:t>
            </w:r>
          </w:p>
        </w:tc>
        <w:tc>
          <w:tcPr>
            <w:tcW w:w="1026" w:type="dxa"/>
            <w:tcBorders>
              <w:top w:val="nil"/>
              <w:left w:val="nil"/>
              <w:bottom w:val="single" w:sz="4" w:space="0" w:color="auto"/>
              <w:right w:val="single" w:sz="4" w:space="0" w:color="auto"/>
            </w:tcBorders>
            <w:vAlign w:val="center"/>
            <w:hideMark/>
          </w:tcPr>
          <w:p w14:paraId="7DD78ABA" w14:textId="4529688B" w:rsidR="00CB1061" w:rsidRPr="000C6E07" w:rsidRDefault="005F300A"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189,1</w:t>
            </w:r>
            <w:r w:rsidR="00CB1061" w:rsidRPr="000C6E07">
              <w:rPr>
                <w:rFonts w:eastAsia="Times New Roman" w:cs="Times New Roman"/>
                <w:color w:val="000000"/>
                <w:sz w:val="20"/>
                <w:szCs w:val="20"/>
                <w:lang w:val="ro-RO"/>
                <w14:ligatures w14:val="none"/>
              </w:rPr>
              <w:t> </w:t>
            </w:r>
          </w:p>
        </w:tc>
        <w:tc>
          <w:tcPr>
            <w:tcW w:w="1100" w:type="dxa"/>
            <w:tcBorders>
              <w:top w:val="nil"/>
              <w:left w:val="nil"/>
              <w:bottom w:val="single" w:sz="4" w:space="0" w:color="auto"/>
              <w:right w:val="single" w:sz="4" w:space="0" w:color="auto"/>
            </w:tcBorders>
            <w:vAlign w:val="center"/>
            <w:hideMark/>
          </w:tcPr>
          <w:p w14:paraId="50F2085E" w14:textId="609C7A74" w:rsidR="00CB1061" w:rsidRPr="000C6E07" w:rsidRDefault="005F300A"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189,1</w:t>
            </w:r>
            <w:r w:rsidR="00CB1061"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037CF4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818659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AFDF05A" w14:textId="50675967" w:rsidR="00CB1061" w:rsidRPr="000C6E07" w:rsidRDefault="005F300A"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w:t>
            </w:r>
            <w:r>
              <w:rPr>
                <w:rFonts w:eastAsia="Times New Roman" w:cs="Times New Roman"/>
                <w:color w:val="000000"/>
                <w:sz w:val="20"/>
                <w:szCs w:val="20"/>
                <w:lang w:val="ro-RO"/>
                <w14:ligatures w14:val="none"/>
              </w:rPr>
              <w:t>1</w:t>
            </w:r>
          </w:p>
        </w:tc>
        <w:tc>
          <w:tcPr>
            <w:tcW w:w="1000" w:type="dxa"/>
            <w:tcBorders>
              <w:top w:val="nil"/>
              <w:left w:val="nil"/>
              <w:bottom w:val="single" w:sz="4" w:space="0" w:color="auto"/>
              <w:right w:val="single" w:sz="4" w:space="0" w:color="auto"/>
            </w:tcBorders>
            <w:vAlign w:val="center"/>
            <w:hideMark/>
          </w:tcPr>
          <w:p w14:paraId="0AFA83C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79DAC3A" w14:textId="6E12ABCC"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005F300A"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06E5057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B104CC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5E22E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56D724C" w14:textId="1368E0E2" w:rsidR="00CB1061" w:rsidRPr="000C6E07" w:rsidRDefault="005F300A" w:rsidP="00CB1061">
            <w:pPr>
              <w:spacing w:after="0"/>
              <w:jc w:val="center"/>
              <w:rPr>
                <w:rFonts w:eastAsia="Times New Roman" w:cs="Times New Roman"/>
                <w:color w:val="000000"/>
                <w:sz w:val="20"/>
                <w:szCs w:val="20"/>
                <w:lang w:val="ro-RO"/>
                <w14:ligatures w14:val="none"/>
              </w:rPr>
            </w:pPr>
            <w:proofErr w:type="spellStart"/>
            <w:r w:rsidRPr="000C6E07">
              <w:rPr>
                <w:rFonts w:eastAsia="Times New Roman" w:cs="Times New Roman"/>
                <w:color w:val="000000"/>
                <w:sz w:val="20"/>
                <w:szCs w:val="20"/>
                <w:lang w:val="ro-RO"/>
                <w14:ligatures w14:val="none"/>
              </w:rPr>
              <w:t>Trimestr</w:t>
            </w:r>
            <w:r>
              <w:rPr>
                <w:rFonts w:eastAsia="Times New Roman" w:cs="Times New Roman"/>
                <w:color w:val="000000"/>
                <w:sz w:val="20"/>
                <w:szCs w:val="20"/>
                <w:lang w:val="ro-RO"/>
                <w14:ligatures w14:val="none"/>
              </w:rPr>
              <w:t>ulIII</w:t>
            </w:r>
            <w:proofErr w:type="spellEnd"/>
            <w:r w:rsidRPr="000C6E07">
              <w:rPr>
                <w:rFonts w:eastAsia="Times New Roman" w:cs="Times New Roman"/>
                <w:color w:val="000000"/>
                <w:sz w:val="20"/>
                <w:szCs w:val="20"/>
                <w:lang w:val="ro-RO"/>
                <w14:ligatures w14:val="none"/>
              </w:rPr>
              <w:t>, 202</w:t>
            </w:r>
            <w:r>
              <w:rPr>
                <w:rFonts w:eastAsia="Times New Roman" w:cs="Times New Roman"/>
                <w:color w:val="000000"/>
                <w:sz w:val="20"/>
                <w:szCs w:val="20"/>
                <w:lang w:val="ro-RO"/>
                <w14:ligatures w14:val="none"/>
              </w:rPr>
              <w:t>7</w:t>
            </w:r>
          </w:p>
        </w:tc>
        <w:tc>
          <w:tcPr>
            <w:tcW w:w="1162" w:type="dxa"/>
            <w:vMerge w:val="restart"/>
            <w:tcBorders>
              <w:top w:val="nil"/>
              <w:left w:val="single" w:sz="4" w:space="0" w:color="auto"/>
              <w:bottom w:val="single" w:sz="4" w:space="0" w:color="000000"/>
              <w:right w:val="single" w:sz="4" w:space="0" w:color="auto"/>
            </w:tcBorders>
            <w:vAlign w:val="center"/>
            <w:hideMark/>
          </w:tcPr>
          <w:p w14:paraId="12C6B5EA" w14:textId="036A887B"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Procuratura Generală; Oficiul Avocatului Poporului; Consiliul pentru </w:t>
            </w:r>
            <w:r>
              <w:rPr>
                <w:rFonts w:eastAsia="Times New Roman" w:cs="Times New Roman"/>
                <w:color w:val="000000"/>
                <w:sz w:val="20"/>
                <w:szCs w:val="20"/>
                <w:lang w:val="ro-RO"/>
                <w14:ligatures w14:val="none"/>
              </w:rPr>
              <w:t>egalitate</w:t>
            </w:r>
            <w:r w:rsidRPr="000C6E07">
              <w:rPr>
                <w:rFonts w:eastAsia="Times New Roman" w:cs="Times New Roman"/>
                <w:color w:val="000000"/>
                <w:sz w:val="20"/>
                <w:szCs w:val="20"/>
                <w:lang w:val="ro-RO"/>
                <w14:ligatures w14:val="none"/>
              </w:rPr>
              <w:t xml:space="preserve">; Institutul pentru Drepturile Omului din Moldova; </w:t>
            </w:r>
            <w:r w:rsidRPr="000C6E07">
              <w:rPr>
                <w:rFonts w:eastAsia="Times New Roman" w:cs="Times New Roman"/>
                <w:color w:val="000000"/>
                <w:sz w:val="20"/>
                <w:szCs w:val="20"/>
                <w:lang w:val="ro-RO"/>
                <w14:ligatures w14:val="none"/>
              </w:rPr>
              <w:lastRenderedPageBreak/>
              <w:t>Fundația Soros Moldova; Alianța Organizațiilor pentru Persoane cu Dizabilități din Republica Moldova</w:t>
            </w:r>
          </w:p>
        </w:tc>
      </w:tr>
      <w:tr w:rsidR="00CB1061" w:rsidRPr="000C6E07" w14:paraId="6B865E28" w14:textId="77777777" w:rsidTr="006A2852">
        <w:trPr>
          <w:trHeight w:val="1040"/>
        </w:trPr>
        <w:tc>
          <w:tcPr>
            <w:tcW w:w="568" w:type="dxa"/>
            <w:vMerge/>
            <w:tcBorders>
              <w:top w:val="nil"/>
              <w:left w:val="single" w:sz="4" w:space="0" w:color="auto"/>
              <w:bottom w:val="single" w:sz="4" w:space="0" w:color="auto"/>
              <w:right w:val="single" w:sz="4" w:space="0" w:color="auto"/>
            </w:tcBorders>
            <w:hideMark/>
          </w:tcPr>
          <w:p w14:paraId="0E50C211"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left w:val="nil"/>
              <w:bottom w:val="single" w:sz="4" w:space="0" w:color="auto"/>
              <w:right w:val="single" w:sz="4" w:space="0" w:color="auto"/>
            </w:tcBorders>
            <w:hideMark/>
          </w:tcPr>
          <w:p w14:paraId="4B31D021" w14:textId="5CF3430E"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FE6E217" w14:textId="193B7AFD" w:rsidR="00CB1061" w:rsidRPr="00A5450C" w:rsidRDefault="00CB1061" w:rsidP="00CB1061">
            <w:pPr>
              <w:spacing w:after="0"/>
              <w:jc w:val="center"/>
              <w:rPr>
                <w:rFonts w:eastAsia="Times New Roman" w:cs="Times New Roman"/>
                <w:color w:val="000000"/>
                <w:sz w:val="20"/>
                <w:szCs w:val="20"/>
                <w:lang w:val="ro-RO"/>
                <w14:ligatures w14:val="none"/>
              </w:rPr>
            </w:pPr>
            <w:r w:rsidRPr="005F300A">
              <w:rPr>
                <w:rFonts w:eastAsia="Times New Roman" w:cs="Times New Roman"/>
                <w:color w:val="000000"/>
                <w:sz w:val="20"/>
                <w:szCs w:val="20"/>
                <w:lang w:val="ro-RO"/>
                <w14:ligatures w14:val="none"/>
              </w:rPr>
              <w:t>50% din angajați care aplică Ghidul de intervenție în exercițiul funcției instruiți anual</w:t>
            </w:r>
          </w:p>
          <w:p w14:paraId="510A668B" w14:textId="77777777"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70CB33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5D4350B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7A7B73B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D13E08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E9A080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63355D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A716D7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80CC2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424421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E0945D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4C9849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01EFE73A"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2D72604B"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1CD70651" w14:textId="60CC59BC"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01A1D7B"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Prevenirea situațiilor de încălcare a drepturilor omului pe durata aflării în custodia </w:t>
            </w:r>
            <w:r w:rsidRPr="000C6E07">
              <w:rPr>
                <w:rFonts w:eastAsia="Times New Roman" w:cs="Times New Roman"/>
                <w:color w:val="000000"/>
                <w:sz w:val="20"/>
                <w:szCs w:val="20"/>
                <w:lang w:val="ro-RO"/>
                <w14:ligatures w14:val="none"/>
              </w:rPr>
              <w:lastRenderedPageBreak/>
              <w:t>serviciilor de ordine publică</w:t>
            </w:r>
          </w:p>
        </w:tc>
        <w:tc>
          <w:tcPr>
            <w:tcW w:w="1843" w:type="dxa"/>
            <w:tcBorders>
              <w:top w:val="nil"/>
              <w:left w:val="nil"/>
              <w:bottom w:val="single" w:sz="4" w:space="0" w:color="auto"/>
              <w:right w:val="single" w:sz="4" w:space="0" w:color="auto"/>
            </w:tcBorders>
            <w:vAlign w:val="center"/>
            <w:hideMark/>
          </w:tcPr>
          <w:p w14:paraId="04E9B92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Posturile de felcer din cadrul izolatoarelor de detenție provizorie subordonate Ministerului Sănătății</w:t>
            </w:r>
          </w:p>
        </w:tc>
        <w:tc>
          <w:tcPr>
            <w:tcW w:w="1026" w:type="dxa"/>
            <w:tcBorders>
              <w:top w:val="nil"/>
              <w:left w:val="nil"/>
              <w:bottom w:val="single" w:sz="4" w:space="0" w:color="auto"/>
              <w:right w:val="single" w:sz="4" w:space="0" w:color="auto"/>
            </w:tcBorders>
            <w:vAlign w:val="center"/>
            <w:hideMark/>
          </w:tcPr>
          <w:p w14:paraId="15719D6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42AF9CF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66268E8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035E54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331B122" w14:textId="3EF62147"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80</w:t>
            </w:r>
          </w:p>
          <w:p w14:paraId="52292DA0" w14:textId="1150C8BD"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3501</w:t>
            </w:r>
          </w:p>
          <w:p w14:paraId="5EAA66CE" w14:textId="2FE299F3"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4A36D0B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3F1DB3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072B10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AFF402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4CD86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815F4A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6D5693D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Sănătății, Ministerul Afacerilor Interne</w:t>
            </w:r>
          </w:p>
        </w:tc>
      </w:tr>
      <w:tr w:rsidR="00CB1061" w:rsidRPr="000C6E07" w14:paraId="645FBC0E" w14:textId="77777777" w:rsidTr="004356CF">
        <w:trPr>
          <w:trHeight w:val="5980"/>
        </w:trPr>
        <w:tc>
          <w:tcPr>
            <w:tcW w:w="568" w:type="dxa"/>
            <w:vMerge/>
            <w:tcBorders>
              <w:top w:val="nil"/>
              <w:left w:val="single" w:sz="4" w:space="0" w:color="auto"/>
              <w:bottom w:val="single" w:sz="4" w:space="0" w:color="auto"/>
              <w:right w:val="single" w:sz="4" w:space="0" w:color="auto"/>
            </w:tcBorders>
            <w:hideMark/>
          </w:tcPr>
          <w:p w14:paraId="17E4F849"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615D69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ED6696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100% din angajații serviciilor detenție și escortă instruiți în aplicarea PSO ajustate la cerințele grupurilor vulnerabile </w:t>
            </w:r>
          </w:p>
        </w:tc>
        <w:tc>
          <w:tcPr>
            <w:tcW w:w="1026" w:type="dxa"/>
            <w:tcBorders>
              <w:top w:val="nil"/>
              <w:left w:val="nil"/>
              <w:bottom w:val="single" w:sz="4" w:space="0" w:color="auto"/>
              <w:right w:val="single" w:sz="4" w:space="0" w:color="auto"/>
            </w:tcBorders>
            <w:vAlign w:val="center"/>
            <w:hideMark/>
          </w:tcPr>
          <w:p w14:paraId="1296424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95,0</w:t>
            </w:r>
          </w:p>
        </w:tc>
        <w:tc>
          <w:tcPr>
            <w:tcW w:w="1100" w:type="dxa"/>
            <w:tcBorders>
              <w:top w:val="nil"/>
              <w:left w:val="nil"/>
              <w:bottom w:val="single" w:sz="4" w:space="0" w:color="auto"/>
              <w:right w:val="single" w:sz="4" w:space="0" w:color="auto"/>
            </w:tcBorders>
            <w:vAlign w:val="center"/>
            <w:hideMark/>
          </w:tcPr>
          <w:p w14:paraId="2979579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95,0</w:t>
            </w:r>
          </w:p>
        </w:tc>
        <w:tc>
          <w:tcPr>
            <w:tcW w:w="1015" w:type="dxa"/>
            <w:tcBorders>
              <w:top w:val="nil"/>
              <w:left w:val="nil"/>
              <w:bottom w:val="single" w:sz="4" w:space="0" w:color="auto"/>
              <w:right w:val="single" w:sz="4" w:space="0" w:color="auto"/>
            </w:tcBorders>
            <w:vAlign w:val="center"/>
            <w:hideMark/>
          </w:tcPr>
          <w:p w14:paraId="2F210AE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1AB0BD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9F30AFB" w14:textId="18944835"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BF9160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DCED20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47,5</w:t>
            </w:r>
          </w:p>
        </w:tc>
        <w:tc>
          <w:tcPr>
            <w:tcW w:w="1000" w:type="dxa"/>
            <w:tcBorders>
              <w:top w:val="nil"/>
              <w:left w:val="nil"/>
              <w:bottom w:val="single" w:sz="4" w:space="0" w:color="auto"/>
              <w:right w:val="single" w:sz="4" w:space="0" w:color="auto"/>
            </w:tcBorders>
            <w:vAlign w:val="center"/>
            <w:hideMark/>
          </w:tcPr>
          <w:p w14:paraId="625C14F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47,5</w:t>
            </w:r>
          </w:p>
        </w:tc>
        <w:tc>
          <w:tcPr>
            <w:tcW w:w="1000" w:type="dxa"/>
            <w:tcBorders>
              <w:top w:val="nil"/>
              <w:left w:val="nil"/>
              <w:bottom w:val="single" w:sz="4" w:space="0" w:color="auto"/>
              <w:right w:val="single" w:sz="4" w:space="0" w:color="auto"/>
            </w:tcBorders>
            <w:vAlign w:val="center"/>
            <w:hideMark/>
          </w:tcPr>
          <w:p w14:paraId="019CE09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A617FD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972134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785B5F30" w14:textId="287B5CD5"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Oficiul Avocatului Poporului; </w:t>
            </w:r>
            <w:r w:rsidRPr="00874AF6">
              <w:rPr>
                <w:rFonts w:eastAsia="Times New Roman" w:cs="Times New Roman"/>
                <w:color w:val="000000"/>
                <w:sz w:val="20"/>
                <w:szCs w:val="20"/>
                <w:lang w:val="ro-RO"/>
                <w14:ligatures w14:val="none"/>
              </w:rPr>
              <w:t>Consiliul pentru egalitate</w:t>
            </w:r>
            <w:r w:rsidRPr="000C6E07">
              <w:rPr>
                <w:rFonts w:eastAsia="Times New Roman" w:cs="Times New Roman"/>
                <w:color w:val="000000"/>
                <w:sz w:val="20"/>
                <w:szCs w:val="20"/>
                <w:lang w:val="ro-RO"/>
                <w14:ligatures w14:val="none"/>
              </w:rPr>
              <w:t>; Institutul pentru Drepturile Omului din Moldova; Fundația Soros Moldova; Alianța Organizațiilor pentru Persoane cu Dizabilități din Republica Moldova</w:t>
            </w:r>
          </w:p>
        </w:tc>
      </w:tr>
      <w:tr w:rsidR="00CB1061" w:rsidRPr="000C6E07" w14:paraId="4ABF6E30" w14:textId="77777777" w:rsidTr="004356CF">
        <w:trPr>
          <w:trHeight w:val="3120"/>
        </w:trPr>
        <w:tc>
          <w:tcPr>
            <w:tcW w:w="568" w:type="dxa"/>
            <w:vMerge/>
            <w:tcBorders>
              <w:top w:val="nil"/>
              <w:left w:val="single" w:sz="4" w:space="0" w:color="auto"/>
              <w:bottom w:val="single" w:sz="4" w:space="0" w:color="auto"/>
              <w:right w:val="single" w:sz="4" w:space="0" w:color="auto"/>
            </w:tcBorders>
            <w:hideMark/>
          </w:tcPr>
          <w:p w14:paraId="47BE5C99"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CF3288E"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767BAA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 autospeciale pentru transportarea persoanelor cu dizabilități locomotorii achiziționate</w:t>
            </w:r>
          </w:p>
        </w:tc>
        <w:tc>
          <w:tcPr>
            <w:tcW w:w="1026" w:type="dxa"/>
            <w:tcBorders>
              <w:top w:val="nil"/>
              <w:left w:val="nil"/>
              <w:bottom w:val="single" w:sz="4" w:space="0" w:color="auto"/>
              <w:right w:val="single" w:sz="4" w:space="0" w:color="auto"/>
            </w:tcBorders>
            <w:vAlign w:val="center"/>
            <w:hideMark/>
          </w:tcPr>
          <w:p w14:paraId="7170AE9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w:t>
            </w:r>
          </w:p>
        </w:tc>
        <w:tc>
          <w:tcPr>
            <w:tcW w:w="1100" w:type="dxa"/>
            <w:tcBorders>
              <w:top w:val="nil"/>
              <w:left w:val="nil"/>
              <w:bottom w:val="single" w:sz="4" w:space="0" w:color="auto"/>
              <w:right w:val="single" w:sz="4" w:space="0" w:color="auto"/>
            </w:tcBorders>
            <w:vAlign w:val="center"/>
            <w:hideMark/>
          </w:tcPr>
          <w:p w14:paraId="0AE70F2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D3E2B4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w:t>
            </w:r>
          </w:p>
        </w:tc>
        <w:tc>
          <w:tcPr>
            <w:tcW w:w="922" w:type="dxa"/>
            <w:tcBorders>
              <w:top w:val="nil"/>
              <w:left w:val="nil"/>
              <w:bottom w:val="single" w:sz="4" w:space="0" w:color="auto"/>
              <w:right w:val="single" w:sz="4" w:space="0" w:color="auto"/>
            </w:tcBorders>
            <w:vAlign w:val="center"/>
            <w:hideMark/>
          </w:tcPr>
          <w:p w14:paraId="350E4AC2" w14:textId="217E1902" w:rsidR="00CB1061" w:rsidRPr="008E2BA2" w:rsidRDefault="00E86770" w:rsidP="00CB1061">
            <w:pPr>
              <w:spacing w:after="0"/>
              <w:jc w:val="center"/>
              <w:rPr>
                <w:rFonts w:eastAsia="Times New Roman" w:cs="Times New Roman"/>
                <w:color w:val="000000"/>
                <w:sz w:val="20"/>
                <w:szCs w:val="20"/>
                <w:highlight w:val="yellow"/>
                <w:lang w:val="ro-RO"/>
                <w14:ligatures w14:val="none"/>
              </w:rPr>
            </w:pPr>
            <w:r w:rsidRPr="000C6E07">
              <w:rPr>
                <w:rFonts w:eastAsia="Times New Roman" w:cs="Times New Roman"/>
                <w:color w:val="0070C0"/>
                <w:sz w:val="20"/>
                <w:szCs w:val="20"/>
                <w:lang w:val="ro-RO"/>
                <w14:ligatures w14:val="none"/>
              </w:rPr>
              <w:t>2.205,0</w:t>
            </w:r>
          </w:p>
        </w:tc>
        <w:tc>
          <w:tcPr>
            <w:tcW w:w="1182" w:type="dxa"/>
            <w:tcBorders>
              <w:top w:val="nil"/>
              <w:left w:val="nil"/>
              <w:bottom w:val="single" w:sz="4" w:space="0" w:color="auto"/>
              <w:right w:val="single" w:sz="4" w:space="0" w:color="auto"/>
            </w:tcBorders>
            <w:vAlign w:val="center"/>
            <w:hideMark/>
          </w:tcPr>
          <w:p w14:paraId="0056CEC5" w14:textId="1490267C" w:rsidR="00CB1061" w:rsidRPr="00E86770" w:rsidRDefault="00E86770"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1D470A53" w14:textId="77777777"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963D2D1" w14:textId="77777777"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59B7AC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8C2493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07F6E7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w:t>
            </w:r>
          </w:p>
        </w:tc>
        <w:tc>
          <w:tcPr>
            <w:tcW w:w="1082" w:type="dxa"/>
            <w:tcBorders>
              <w:top w:val="nil"/>
              <w:left w:val="nil"/>
              <w:bottom w:val="single" w:sz="4" w:space="0" w:color="auto"/>
              <w:right w:val="single" w:sz="4" w:space="0" w:color="auto"/>
            </w:tcBorders>
            <w:vAlign w:val="center"/>
            <w:hideMark/>
          </w:tcPr>
          <w:p w14:paraId="53BCA60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0739AD7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Alianța Organizațiilor pentru Persoane cu Dizabilități din Republica Moldova; Asociația „Motivație”;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w:t>
            </w:r>
          </w:p>
        </w:tc>
      </w:tr>
      <w:tr w:rsidR="00CB1061" w:rsidRPr="000C6E07" w14:paraId="49BF6F39" w14:textId="77777777" w:rsidTr="00C8571E">
        <w:trPr>
          <w:trHeight w:val="3120"/>
        </w:trPr>
        <w:tc>
          <w:tcPr>
            <w:tcW w:w="568" w:type="dxa"/>
            <w:tcBorders>
              <w:top w:val="nil"/>
              <w:left w:val="single" w:sz="4" w:space="0" w:color="auto"/>
              <w:bottom w:val="single" w:sz="4" w:space="0" w:color="auto"/>
              <w:right w:val="single" w:sz="4" w:space="0" w:color="auto"/>
            </w:tcBorders>
          </w:tcPr>
          <w:p w14:paraId="53BBCEB4"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single" w:sz="4" w:space="0" w:color="auto"/>
              <w:bottom w:val="single" w:sz="4" w:space="0" w:color="auto"/>
              <w:right w:val="single" w:sz="4" w:space="0" w:color="auto"/>
            </w:tcBorders>
          </w:tcPr>
          <w:p w14:paraId="66F5AD46" w14:textId="501AC662" w:rsidR="00CB1061" w:rsidRPr="00E86770" w:rsidRDefault="00CB1061" w:rsidP="00CB1061">
            <w:pPr>
              <w:spacing w:after="0"/>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Instruirea agenților constatatori din cadrul serviciului detenție și escorta în documentarea cauzelor contravenționale</w:t>
            </w:r>
          </w:p>
        </w:tc>
        <w:tc>
          <w:tcPr>
            <w:tcW w:w="1843" w:type="dxa"/>
            <w:tcBorders>
              <w:top w:val="nil"/>
              <w:left w:val="nil"/>
              <w:bottom w:val="single" w:sz="4" w:space="0" w:color="auto"/>
              <w:right w:val="single" w:sz="4" w:space="0" w:color="auto"/>
            </w:tcBorders>
            <w:vAlign w:val="center"/>
          </w:tcPr>
          <w:p w14:paraId="7A05471E" w14:textId="5EBE9019"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100% dintre angajații Serviciului detenție și escortă cu statut de agent constatator, instruiți</w:t>
            </w:r>
          </w:p>
        </w:tc>
        <w:tc>
          <w:tcPr>
            <w:tcW w:w="1026" w:type="dxa"/>
            <w:tcBorders>
              <w:top w:val="nil"/>
              <w:left w:val="nil"/>
              <w:bottom w:val="single" w:sz="4" w:space="0" w:color="auto"/>
              <w:right w:val="single" w:sz="4" w:space="0" w:color="auto"/>
            </w:tcBorders>
            <w:vAlign w:val="center"/>
          </w:tcPr>
          <w:p w14:paraId="3786514B" w14:textId="6B141483" w:rsidR="00CB1061" w:rsidRPr="00E86770" w:rsidRDefault="00E86770" w:rsidP="00CB1061">
            <w:pPr>
              <w:spacing w:after="0"/>
              <w:jc w:val="center"/>
              <w:rPr>
                <w:rFonts w:eastAsia="Times New Roman" w:cs="Times New Roman"/>
                <w:color w:val="0070C0"/>
                <w:sz w:val="20"/>
                <w:szCs w:val="20"/>
                <w:lang w:val="ro-RO"/>
                <w14:ligatures w14:val="none"/>
              </w:rPr>
            </w:pPr>
            <w:r w:rsidRPr="00E86770">
              <w:rPr>
                <w:rFonts w:eastAsia="Times New Roman" w:cs="Times New Roman"/>
                <w:color w:val="0070C0"/>
                <w:sz w:val="20"/>
                <w:szCs w:val="20"/>
                <w:lang w:val="ro-RO"/>
                <w14:ligatures w14:val="none"/>
              </w:rPr>
              <w:t>95,0</w:t>
            </w:r>
          </w:p>
        </w:tc>
        <w:tc>
          <w:tcPr>
            <w:tcW w:w="1100" w:type="dxa"/>
            <w:tcBorders>
              <w:top w:val="nil"/>
              <w:left w:val="nil"/>
              <w:bottom w:val="single" w:sz="4" w:space="0" w:color="auto"/>
              <w:right w:val="single" w:sz="4" w:space="0" w:color="auto"/>
            </w:tcBorders>
            <w:vAlign w:val="center"/>
          </w:tcPr>
          <w:p w14:paraId="36E98CC7" w14:textId="1DF23FD3" w:rsidR="00CB1061" w:rsidRPr="00E86770" w:rsidRDefault="00E86770"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70C0"/>
                <w:sz w:val="20"/>
                <w:szCs w:val="20"/>
                <w:lang w:val="ro-RO"/>
                <w14:ligatures w14:val="none"/>
              </w:rPr>
              <w:t>95,0</w:t>
            </w:r>
          </w:p>
        </w:tc>
        <w:tc>
          <w:tcPr>
            <w:tcW w:w="1015" w:type="dxa"/>
            <w:tcBorders>
              <w:top w:val="nil"/>
              <w:left w:val="nil"/>
              <w:bottom w:val="single" w:sz="4" w:space="0" w:color="auto"/>
              <w:right w:val="single" w:sz="4" w:space="0" w:color="auto"/>
            </w:tcBorders>
            <w:vAlign w:val="center"/>
          </w:tcPr>
          <w:p w14:paraId="38CA82AA" w14:textId="77777777" w:rsidR="00CB1061" w:rsidRPr="00E86770" w:rsidRDefault="00CB1061" w:rsidP="00CB1061">
            <w:pPr>
              <w:spacing w:after="0"/>
              <w:jc w:val="center"/>
              <w:rPr>
                <w:rFonts w:eastAsia="Times New Roman" w:cs="Times New Roman"/>
                <w:color w:val="0070C0"/>
                <w:sz w:val="20"/>
                <w:szCs w:val="20"/>
                <w:lang w:val="ro-RO"/>
                <w14:ligatures w14:val="none"/>
              </w:rPr>
            </w:pPr>
          </w:p>
        </w:tc>
        <w:tc>
          <w:tcPr>
            <w:tcW w:w="922" w:type="dxa"/>
            <w:tcBorders>
              <w:top w:val="nil"/>
              <w:left w:val="nil"/>
              <w:bottom w:val="single" w:sz="4" w:space="0" w:color="auto"/>
              <w:right w:val="single" w:sz="4" w:space="0" w:color="auto"/>
            </w:tcBorders>
            <w:vAlign w:val="center"/>
          </w:tcPr>
          <w:p w14:paraId="4C037B77" w14:textId="77777777" w:rsidR="00CB1061" w:rsidRPr="00E86770" w:rsidRDefault="00CB1061" w:rsidP="00CB1061">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tcPr>
          <w:p w14:paraId="78C32822" w14:textId="77777777"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8812</w:t>
            </w:r>
          </w:p>
          <w:p w14:paraId="5A9D60A5" w14:textId="58DF1E12"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3502</w:t>
            </w:r>
          </w:p>
          <w:p w14:paraId="3CA4578D" w14:textId="6A241B3B" w:rsidR="00CB1061" w:rsidRPr="00E86770"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07BF9577" w14:textId="71874ADB" w:rsidR="00CB1061" w:rsidRPr="00E86770" w:rsidRDefault="00E86770"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70C0"/>
                <w:sz w:val="20"/>
                <w:szCs w:val="20"/>
                <w:lang w:val="ro-RO"/>
                <w14:ligatures w14:val="none"/>
              </w:rPr>
              <w:t>95,0</w:t>
            </w:r>
          </w:p>
        </w:tc>
        <w:tc>
          <w:tcPr>
            <w:tcW w:w="1000" w:type="dxa"/>
            <w:tcBorders>
              <w:top w:val="nil"/>
              <w:left w:val="nil"/>
              <w:bottom w:val="single" w:sz="4" w:space="0" w:color="auto"/>
              <w:right w:val="single" w:sz="4" w:space="0" w:color="auto"/>
            </w:tcBorders>
            <w:vAlign w:val="center"/>
          </w:tcPr>
          <w:p w14:paraId="5BD5B684" w14:textId="77777777" w:rsidR="00CB1061" w:rsidRPr="00E86770"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30C7E050" w14:textId="77777777" w:rsidR="00CB1061" w:rsidRPr="00E86770"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7EF52849" w14:textId="77777777" w:rsidR="00CB1061" w:rsidRPr="00E86770" w:rsidRDefault="00CB1061" w:rsidP="00CB1061">
            <w:pPr>
              <w:spacing w:after="0"/>
              <w:jc w:val="center"/>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tcPr>
          <w:p w14:paraId="1E1786D0" w14:textId="77777777" w:rsidR="00CB1061" w:rsidRPr="00E86770" w:rsidRDefault="00CB1061" w:rsidP="00CB1061">
            <w:pPr>
              <w:spacing w:after="0"/>
              <w:jc w:val="center"/>
              <w:rPr>
                <w:rFonts w:eastAsia="Times New Roman" w:cs="Times New Roman"/>
                <w:color w:val="0070C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079B8AA5" w14:textId="37B7FC46" w:rsidR="00CB1061" w:rsidRPr="00E86770" w:rsidRDefault="00CB1061" w:rsidP="00CB1061">
            <w:pPr>
              <w:spacing w:after="0"/>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tcPr>
          <w:p w14:paraId="36DFB1C7" w14:textId="77777777"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Ministerul Afacerilor Interne;</w:t>
            </w:r>
          </w:p>
          <w:p w14:paraId="75228E71" w14:textId="1173CB11" w:rsidR="00CB1061" w:rsidRPr="00E86770"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AO „</w:t>
            </w:r>
            <w:proofErr w:type="spellStart"/>
            <w:r w:rsidRPr="00E86770">
              <w:rPr>
                <w:rFonts w:eastAsia="Times New Roman" w:cs="Times New Roman"/>
                <w:color w:val="000000"/>
                <w:sz w:val="20"/>
                <w:szCs w:val="20"/>
                <w:lang w:val="ro-RO"/>
                <w14:ligatures w14:val="none"/>
              </w:rPr>
              <w:t>PromoLex</w:t>
            </w:r>
            <w:proofErr w:type="spellEnd"/>
            <w:r w:rsidRPr="00E86770">
              <w:rPr>
                <w:rFonts w:eastAsia="Times New Roman" w:cs="Times New Roman"/>
                <w:color w:val="000000"/>
                <w:sz w:val="20"/>
                <w:szCs w:val="20"/>
                <w:lang w:val="ro-RO"/>
                <w14:ligatures w14:val="none"/>
              </w:rPr>
              <w:t>”</w:t>
            </w:r>
          </w:p>
        </w:tc>
      </w:tr>
      <w:tr w:rsidR="00CB1061" w:rsidRPr="000C6E07" w14:paraId="296C2509"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2CF312BC" w14:textId="2319F664"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4229456"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capacităților serviciilor de ordine și securitate publică în combaterea infracțiunilor motivate de prejudecată, discurs de ură și propagandă de război</w:t>
            </w:r>
            <w:r w:rsidRPr="000C6E07">
              <w:rPr>
                <w:rFonts w:eastAsia="Times New Roman" w:cs="Times New Roman"/>
                <w:color w:val="000000"/>
                <w:sz w:val="16"/>
                <w:szCs w:val="16"/>
                <w:lang w:val="ro-RO"/>
                <w14:ligatures w14:val="none"/>
              </w:rPr>
              <w:t> </w:t>
            </w:r>
          </w:p>
        </w:tc>
        <w:tc>
          <w:tcPr>
            <w:tcW w:w="1843" w:type="dxa"/>
            <w:tcBorders>
              <w:top w:val="nil"/>
              <w:left w:val="nil"/>
              <w:bottom w:val="single" w:sz="4" w:space="0" w:color="auto"/>
              <w:right w:val="single" w:sz="4" w:space="0" w:color="auto"/>
            </w:tcBorders>
            <w:vAlign w:val="center"/>
            <w:hideMark/>
          </w:tcPr>
          <w:p w14:paraId="3DA1592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Angajații IGP și IGC din prima linie instruiți </w:t>
            </w:r>
          </w:p>
        </w:tc>
        <w:tc>
          <w:tcPr>
            <w:tcW w:w="1026" w:type="dxa"/>
            <w:tcBorders>
              <w:top w:val="nil"/>
              <w:left w:val="nil"/>
              <w:bottom w:val="single" w:sz="4" w:space="0" w:color="auto"/>
              <w:right w:val="single" w:sz="4" w:space="0" w:color="auto"/>
            </w:tcBorders>
            <w:vAlign w:val="center"/>
            <w:hideMark/>
          </w:tcPr>
          <w:p w14:paraId="71E5B93B"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100" w:type="dxa"/>
            <w:tcBorders>
              <w:top w:val="nil"/>
              <w:left w:val="nil"/>
              <w:bottom w:val="single" w:sz="4" w:space="0" w:color="auto"/>
              <w:right w:val="single" w:sz="4" w:space="0" w:color="auto"/>
            </w:tcBorders>
            <w:vAlign w:val="center"/>
            <w:hideMark/>
          </w:tcPr>
          <w:p w14:paraId="14FFEFA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39992CF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922" w:type="dxa"/>
            <w:tcBorders>
              <w:top w:val="nil"/>
              <w:left w:val="nil"/>
              <w:bottom w:val="single" w:sz="4" w:space="0" w:color="auto"/>
              <w:right w:val="single" w:sz="4" w:space="0" w:color="auto"/>
            </w:tcBorders>
            <w:vAlign w:val="center"/>
            <w:hideMark/>
          </w:tcPr>
          <w:p w14:paraId="445DBC2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B089450" w14:textId="3E52345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Consiliul Europei, OSCE</w:t>
            </w:r>
          </w:p>
        </w:tc>
        <w:tc>
          <w:tcPr>
            <w:tcW w:w="1000" w:type="dxa"/>
            <w:tcBorders>
              <w:top w:val="nil"/>
              <w:left w:val="nil"/>
              <w:bottom w:val="single" w:sz="4" w:space="0" w:color="auto"/>
              <w:right w:val="single" w:sz="4" w:space="0" w:color="auto"/>
            </w:tcBorders>
            <w:vAlign w:val="center"/>
            <w:hideMark/>
          </w:tcPr>
          <w:p w14:paraId="732EA0F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EE2371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769387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5.040,0</w:t>
            </w:r>
          </w:p>
        </w:tc>
        <w:tc>
          <w:tcPr>
            <w:tcW w:w="1000" w:type="dxa"/>
            <w:tcBorders>
              <w:top w:val="nil"/>
              <w:left w:val="nil"/>
              <w:bottom w:val="single" w:sz="4" w:space="0" w:color="auto"/>
              <w:right w:val="single" w:sz="4" w:space="0" w:color="auto"/>
            </w:tcBorders>
            <w:vAlign w:val="center"/>
            <w:hideMark/>
          </w:tcPr>
          <w:p w14:paraId="0AA7FA6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3E451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4EC7C7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val="restart"/>
            <w:tcBorders>
              <w:top w:val="nil"/>
              <w:left w:val="single" w:sz="4" w:space="0" w:color="auto"/>
              <w:bottom w:val="single" w:sz="4" w:space="0" w:color="000000"/>
              <w:right w:val="single" w:sz="4" w:space="0" w:color="auto"/>
            </w:tcBorders>
            <w:vAlign w:val="center"/>
            <w:hideMark/>
          </w:tcPr>
          <w:p w14:paraId="1DEB5607"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Pr>
                <w:rFonts w:eastAsia="Times New Roman" w:cs="Times New Roman"/>
                <w:color w:val="000000"/>
                <w:sz w:val="20"/>
                <w:szCs w:val="20"/>
                <w:lang w:val="ro-RO"/>
                <w14:ligatures w14:val="none"/>
              </w:rPr>
              <w:t>;</w:t>
            </w:r>
          </w:p>
          <w:p w14:paraId="4F707CAF" w14:textId="685007C2" w:rsidR="00CB1061" w:rsidRPr="000C6E07" w:rsidRDefault="00CB1061" w:rsidP="00CB1061">
            <w:pPr>
              <w:spacing w:after="0"/>
              <w:jc w:val="center"/>
              <w:rPr>
                <w:rFonts w:eastAsia="Times New Roman" w:cs="Times New Roman"/>
                <w:color w:val="000000"/>
                <w:sz w:val="20"/>
                <w:szCs w:val="20"/>
                <w:lang w:val="ro-RO"/>
                <w14:ligatures w14:val="none"/>
              </w:rPr>
            </w:pPr>
            <w:r w:rsidRPr="005B4E58">
              <w:rPr>
                <w:rFonts w:eastAsia="Times New Roman" w:cs="Times New Roman"/>
                <w:color w:val="000000"/>
                <w:sz w:val="20"/>
                <w:szCs w:val="20"/>
                <w:lang w:val="ro-RO"/>
                <w14:ligatures w14:val="none"/>
              </w:rPr>
              <w:t>Consiliul Europei, OSCE</w:t>
            </w:r>
          </w:p>
        </w:tc>
      </w:tr>
      <w:tr w:rsidR="00E86770" w:rsidRPr="000C6E07" w14:paraId="2BC29524" w14:textId="77777777" w:rsidTr="008423B3">
        <w:trPr>
          <w:trHeight w:val="2340"/>
        </w:trPr>
        <w:tc>
          <w:tcPr>
            <w:tcW w:w="568" w:type="dxa"/>
            <w:vMerge/>
            <w:tcBorders>
              <w:top w:val="nil"/>
              <w:left w:val="single" w:sz="4" w:space="0" w:color="auto"/>
              <w:bottom w:val="single" w:sz="4" w:space="0" w:color="auto"/>
              <w:right w:val="single" w:sz="4" w:space="0" w:color="auto"/>
            </w:tcBorders>
            <w:hideMark/>
          </w:tcPr>
          <w:p w14:paraId="34D58D7B" w14:textId="77777777" w:rsidR="00E86770" w:rsidRPr="000C6E07" w:rsidRDefault="00E86770"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FA17EE6"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843" w:type="dxa"/>
            <w:vMerge w:val="restart"/>
            <w:tcBorders>
              <w:top w:val="nil"/>
              <w:left w:val="nil"/>
              <w:right w:val="single" w:sz="4" w:space="0" w:color="auto"/>
            </w:tcBorders>
            <w:vAlign w:val="center"/>
            <w:hideMark/>
          </w:tcPr>
          <w:p w14:paraId="718E27E0" w14:textId="7F999513"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Mecanismul de colectare a datelor dezagregate privind numărul, tipul și categoriile (în baza criteriilor protejate de lege) contravenții motivate de prejudecăți, dispreț sau ură operațional;</w:t>
            </w:r>
          </w:p>
        </w:tc>
        <w:tc>
          <w:tcPr>
            <w:tcW w:w="1026" w:type="dxa"/>
            <w:vMerge w:val="restart"/>
            <w:tcBorders>
              <w:top w:val="nil"/>
              <w:left w:val="nil"/>
              <w:right w:val="single" w:sz="4" w:space="0" w:color="auto"/>
            </w:tcBorders>
            <w:vAlign w:val="center"/>
            <w:hideMark/>
          </w:tcPr>
          <w:p w14:paraId="759CB2FC" w14:textId="77777777" w:rsidR="00E86770" w:rsidRPr="000C6E07" w:rsidRDefault="00E86770"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vMerge w:val="restart"/>
            <w:tcBorders>
              <w:top w:val="nil"/>
              <w:left w:val="nil"/>
              <w:right w:val="single" w:sz="4" w:space="0" w:color="auto"/>
            </w:tcBorders>
            <w:vAlign w:val="center"/>
            <w:hideMark/>
          </w:tcPr>
          <w:p w14:paraId="178B5C12" w14:textId="77777777" w:rsidR="00E86770" w:rsidRPr="000C6E07" w:rsidRDefault="00E86770"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val="restart"/>
            <w:tcBorders>
              <w:top w:val="nil"/>
              <w:left w:val="nil"/>
              <w:right w:val="single" w:sz="4" w:space="0" w:color="auto"/>
            </w:tcBorders>
            <w:vAlign w:val="center"/>
            <w:hideMark/>
          </w:tcPr>
          <w:p w14:paraId="5857CF04"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3BADBA4C"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nil"/>
              <w:right w:val="single" w:sz="4" w:space="0" w:color="auto"/>
            </w:tcBorders>
            <w:vAlign w:val="center"/>
            <w:hideMark/>
          </w:tcPr>
          <w:p w14:paraId="12D0DA64" w14:textId="5500FC59"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Pr>
                <w:rFonts w:eastAsia="Times New Roman" w:cs="Times New Roman"/>
                <w:color w:val="000000"/>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7156ED91"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2EE4B934"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right w:val="single" w:sz="4" w:space="0" w:color="auto"/>
            </w:tcBorders>
            <w:vAlign w:val="center"/>
            <w:hideMark/>
          </w:tcPr>
          <w:p w14:paraId="17A1DE87" w14:textId="77777777" w:rsidR="00E86770" w:rsidRPr="000C6E07" w:rsidRDefault="00E86770"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val="restart"/>
            <w:tcBorders>
              <w:top w:val="nil"/>
              <w:left w:val="nil"/>
              <w:right w:val="single" w:sz="4" w:space="0" w:color="auto"/>
            </w:tcBorders>
            <w:vAlign w:val="center"/>
            <w:hideMark/>
          </w:tcPr>
          <w:p w14:paraId="37E2A454"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0CC708B4"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AA5A13B"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4F2724FB" w14:textId="77777777" w:rsidR="00E86770" w:rsidRPr="000C6E07" w:rsidRDefault="00E86770" w:rsidP="00CB1061">
            <w:pPr>
              <w:spacing w:after="0"/>
              <w:rPr>
                <w:rFonts w:eastAsia="Times New Roman" w:cs="Times New Roman"/>
                <w:color w:val="000000"/>
                <w:sz w:val="20"/>
                <w:szCs w:val="20"/>
                <w:lang w:val="ro-RO"/>
                <w14:ligatures w14:val="none"/>
              </w:rPr>
            </w:pPr>
          </w:p>
        </w:tc>
      </w:tr>
      <w:tr w:rsidR="00E86770" w:rsidRPr="000C6E07" w14:paraId="640B1EF6" w14:textId="77777777" w:rsidTr="008423B3">
        <w:trPr>
          <w:trHeight w:val="1040"/>
        </w:trPr>
        <w:tc>
          <w:tcPr>
            <w:tcW w:w="568" w:type="dxa"/>
            <w:vMerge/>
            <w:tcBorders>
              <w:top w:val="nil"/>
              <w:left w:val="single" w:sz="4" w:space="0" w:color="auto"/>
              <w:bottom w:val="single" w:sz="4" w:space="0" w:color="auto"/>
              <w:right w:val="single" w:sz="4" w:space="0" w:color="auto"/>
            </w:tcBorders>
            <w:hideMark/>
          </w:tcPr>
          <w:p w14:paraId="62E04564" w14:textId="77777777" w:rsidR="00E86770" w:rsidRPr="000C6E07" w:rsidRDefault="00E86770"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0D2F9D3"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843" w:type="dxa"/>
            <w:vMerge/>
            <w:tcBorders>
              <w:left w:val="nil"/>
              <w:bottom w:val="single" w:sz="4" w:space="0" w:color="auto"/>
              <w:right w:val="single" w:sz="4" w:space="0" w:color="auto"/>
            </w:tcBorders>
            <w:vAlign w:val="center"/>
          </w:tcPr>
          <w:p w14:paraId="48C6EE17" w14:textId="156DA93C" w:rsidR="00E86770" w:rsidRPr="00C8571E" w:rsidRDefault="00E86770" w:rsidP="00CB1061">
            <w:pPr>
              <w:spacing w:after="0"/>
              <w:jc w:val="center"/>
              <w:rPr>
                <w:rFonts w:eastAsia="Times New Roman" w:cs="Times New Roman"/>
                <w:strike/>
                <w:color w:val="000000"/>
                <w:sz w:val="20"/>
                <w:szCs w:val="20"/>
                <w:highlight w:val="yellow"/>
                <w:lang w:val="ro-RO"/>
                <w14:ligatures w14:val="none"/>
              </w:rPr>
            </w:pPr>
          </w:p>
        </w:tc>
        <w:tc>
          <w:tcPr>
            <w:tcW w:w="1026" w:type="dxa"/>
            <w:vMerge/>
            <w:tcBorders>
              <w:left w:val="nil"/>
              <w:bottom w:val="single" w:sz="4" w:space="0" w:color="auto"/>
              <w:right w:val="single" w:sz="4" w:space="0" w:color="auto"/>
            </w:tcBorders>
            <w:vAlign w:val="center"/>
          </w:tcPr>
          <w:p w14:paraId="12A8CB6A" w14:textId="415282B8" w:rsidR="00E86770" w:rsidRPr="000C6E07" w:rsidRDefault="00E86770" w:rsidP="00CB1061">
            <w:pPr>
              <w:spacing w:after="0"/>
              <w:jc w:val="center"/>
              <w:rPr>
                <w:rFonts w:eastAsia="Times New Roman" w:cs="Times New Roman"/>
                <w:color w:val="0070C0"/>
                <w:sz w:val="20"/>
                <w:szCs w:val="20"/>
                <w:lang w:val="ro-RO"/>
                <w14:ligatures w14:val="none"/>
              </w:rPr>
            </w:pPr>
          </w:p>
        </w:tc>
        <w:tc>
          <w:tcPr>
            <w:tcW w:w="1100" w:type="dxa"/>
            <w:vMerge/>
            <w:tcBorders>
              <w:left w:val="nil"/>
              <w:bottom w:val="single" w:sz="4" w:space="0" w:color="auto"/>
              <w:right w:val="single" w:sz="4" w:space="0" w:color="auto"/>
            </w:tcBorders>
            <w:vAlign w:val="center"/>
          </w:tcPr>
          <w:p w14:paraId="709059ED" w14:textId="48A371D3" w:rsidR="00E86770" w:rsidRPr="000C6E07" w:rsidRDefault="00E86770" w:rsidP="00CB1061">
            <w:pPr>
              <w:spacing w:after="0"/>
              <w:jc w:val="center"/>
              <w:rPr>
                <w:rFonts w:eastAsia="Times New Roman" w:cs="Times New Roman"/>
                <w:color w:val="000000"/>
                <w:sz w:val="20"/>
                <w:szCs w:val="20"/>
                <w:lang w:val="ro-RO"/>
                <w14:ligatures w14:val="none"/>
              </w:rPr>
            </w:pPr>
          </w:p>
        </w:tc>
        <w:tc>
          <w:tcPr>
            <w:tcW w:w="1015" w:type="dxa"/>
            <w:vMerge/>
            <w:tcBorders>
              <w:left w:val="nil"/>
              <w:bottom w:val="single" w:sz="4" w:space="0" w:color="auto"/>
              <w:right w:val="single" w:sz="4" w:space="0" w:color="auto"/>
            </w:tcBorders>
            <w:vAlign w:val="center"/>
          </w:tcPr>
          <w:p w14:paraId="6CD6D0AE" w14:textId="4E9BC362" w:rsidR="00E86770" w:rsidRPr="000C6E07" w:rsidRDefault="00E86770" w:rsidP="00CB1061">
            <w:pPr>
              <w:spacing w:after="0"/>
              <w:jc w:val="center"/>
              <w:rPr>
                <w:rFonts w:eastAsia="Times New Roman" w:cs="Times New Roman"/>
                <w:color w:val="0070C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tcPr>
          <w:p w14:paraId="08109F85"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182" w:type="dxa"/>
            <w:vMerge/>
            <w:tcBorders>
              <w:left w:val="nil"/>
              <w:bottom w:val="single" w:sz="4" w:space="0" w:color="auto"/>
              <w:right w:val="single" w:sz="4" w:space="0" w:color="auto"/>
            </w:tcBorders>
            <w:vAlign w:val="center"/>
          </w:tcPr>
          <w:p w14:paraId="00C471FC" w14:textId="626B6F5A" w:rsidR="00E86770" w:rsidRPr="000C6E07" w:rsidRDefault="00E86770" w:rsidP="00CB1061">
            <w:pPr>
              <w:spacing w:after="0"/>
              <w:jc w:val="center"/>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tcPr>
          <w:p w14:paraId="0B557AA9"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tcPr>
          <w:p w14:paraId="694F5C04"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2489FAC1" w14:textId="321B7530" w:rsidR="00E86770" w:rsidRPr="000C6E07" w:rsidRDefault="00E86770" w:rsidP="00CB1061">
            <w:pPr>
              <w:spacing w:after="0"/>
              <w:jc w:val="center"/>
              <w:rPr>
                <w:rFonts w:eastAsia="Times New Roman" w:cs="Times New Roman"/>
                <w:color w:val="000000"/>
                <w:sz w:val="20"/>
                <w:szCs w:val="20"/>
                <w:lang w:val="ro-RO"/>
                <w14:ligatures w14:val="none"/>
              </w:rPr>
            </w:pPr>
          </w:p>
        </w:tc>
        <w:tc>
          <w:tcPr>
            <w:tcW w:w="1000" w:type="dxa"/>
            <w:vMerge/>
            <w:tcBorders>
              <w:left w:val="nil"/>
              <w:bottom w:val="single" w:sz="4" w:space="0" w:color="auto"/>
              <w:right w:val="single" w:sz="4" w:space="0" w:color="auto"/>
            </w:tcBorders>
            <w:vAlign w:val="center"/>
          </w:tcPr>
          <w:p w14:paraId="5C65927B" w14:textId="04EDCE99" w:rsidR="00E86770" w:rsidRPr="000C6E07" w:rsidRDefault="00E86770" w:rsidP="00CB1061">
            <w:pPr>
              <w:spacing w:after="0"/>
              <w:jc w:val="center"/>
              <w:rPr>
                <w:rFonts w:eastAsia="Times New Roman" w:cs="Times New Roman"/>
                <w:color w:val="0070C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tcPr>
          <w:p w14:paraId="3FB166C1"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82" w:type="dxa"/>
            <w:tcBorders>
              <w:top w:val="nil"/>
              <w:left w:val="nil"/>
              <w:bottom w:val="single" w:sz="4" w:space="0" w:color="auto"/>
              <w:right w:val="single" w:sz="4" w:space="0" w:color="auto"/>
            </w:tcBorders>
            <w:vAlign w:val="center"/>
          </w:tcPr>
          <w:p w14:paraId="13BFCD70" w14:textId="41F8E81F" w:rsidR="00E86770" w:rsidRPr="000C6E07" w:rsidRDefault="00E86770" w:rsidP="00CB1061">
            <w:pPr>
              <w:spacing w:after="0"/>
              <w:jc w:val="center"/>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4038F490" w14:textId="77777777" w:rsidR="00E86770" w:rsidRPr="000C6E07" w:rsidRDefault="00E86770" w:rsidP="00CB1061">
            <w:pPr>
              <w:spacing w:after="0"/>
              <w:rPr>
                <w:rFonts w:eastAsia="Times New Roman" w:cs="Times New Roman"/>
                <w:color w:val="000000"/>
                <w:sz w:val="20"/>
                <w:szCs w:val="20"/>
                <w:lang w:val="ro-RO"/>
                <w14:ligatures w14:val="none"/>
              </w:rPr>
            </w:pPr>
          </w:p>
        </w:tc>
      </w:tr>
      <w:tr w:rsidR="00CB1061" w:rsidRPr="000C6E07" w14:paraId="507D9661" w14:textId="77777777" w:rsidTr="004356CF">
        <w:trPr>
          <w:trHeight w:val="4680"/>
        </w:trPr>
        <w:tc>
          <w:tcPr>
            <w:tcW w:w="568" w:type="dxa"/>
            <w:vMerge/>
            <w:tcBorders>
              <w:top w:val="nil"/>
              <w:left w:val="single" w:sz="4" w:space="0" w:color="auto"/>
              <w:bottom w:val="single" w:sz="4" w:space="0" w:color="auto"/>
              <w:right w:val="single" w:sz="4" w:space="0" w:color="auto"/>
            </w:tcBorders>
            <w:hideMark/>
          </w:tcPr>
          <w:p w14:paraId="19AFBDBA"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60E53CD"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EB1A10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1 campanie de sensibilizare cu privire infracțiunile motivate de prejudecată, discursul de ură continuată anual</w:t>
            </w:r>
          </w:p>
        </w:tc>
        <w:tc>
          <w:tcPr>
            <w:tcW w:w="1026" w:type="dxa"/>
            <w:tcBorders>
              <w:top w:val="nil"/>
              <w:left w:val="nil"/>
              <w:bottom w:val="single" w:sz="4" w:space="0" w:color="auto"/>
              <w:right w:val="single" w:sz="4" w:space="0" w:color="auto"/>
            </w:tcBorders>
            <w:vAlign w:val="center"/>
            <w:hideMark/>
          </w:tcPr>
          <w:p w14:paraId="2F7BADA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900,0</w:t>
            </w:r>
          </w:p>
        </w:tc>
        <w:tc>
          <w:tcPr>
            <w:tcW w:w="1100" w:type="dxa"/>
            <w:tcBorders>
              <w:top w:val="nil"/>
              <w:left w:val="nil"/>
              <w:bottom w:val="single" w:sz="4" w:space="0" w:color="auto"/>
              <w:right w:val="single" w:sz="4" w:space="0" w:color="auto"/>
            </w:tcBorders>
            <w:vAlign w:val="center"/>
            <w:hideMark/>
          </w:tcPr>
          <w:p w14:paraId="36C1184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28CC983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900,0</w:t>
            </w:r>
          </w:p>
        </w:tc>
        <w:tc>
          <w:tcPr>
            <w:tcW w:w="922" w:type="dxa"/>
            <w:tcBorders>
              <w:top w:val="nil"/>
              <w:left w:val="nil"/>
              <w:bottom w:val="single" w:sz="4" w:space="0" w:color="auto"/>
              <w:right w:val="single" w:sz="4" w:space="0" w:color="auto"/>
            </w:tcBorders>
            <w:vAlign w:val="center"/>
            <w:hideMark/>
          </w:tcPr>
          <w:p w14:paraId="4BF8093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58736C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Consiliul Europei</w:t>
            </w:r>
          </w:p>
        </w:tc>
        <w:tc>
          <w:tcPr>
            <w:tcW w:w="1000" w:type="dxa"/>
            <w:tcBorders>
              <w:top w:val="nil"/>
              <w:left w:val="nil"/>
              <w:bottom w:val="single" w:sz="4" w:space="0" w:color="auto"/>
              <w:right w:val="single" w:sz="4" w:space="0" w:color="auto"/>
            </w:tcBorders>
            <w:vAlign w:val="center"/>
            <w:hideMark/>
          </w:tcPr>
          <w:p w14:paraId="2F4D9DC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FA9BBB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3D92798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374DE08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41AC624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D423A1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5E49C578"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Ministerul Afacerilor Interne; Ministerul Justiției; Ministerul Educației și Cercetării; Procuratura Generală; </w:t>
            </w:r>
            <w:r w:rsidRPr="00874AF6">
              <w:rPr>
                <w:rFonts w:eastAsia="Times New Roman" w:cs="Times New Roman"/>
                <w:color w:val="000000"/>
                <w:sz w:val="20"/>
                <w:szCs w:val="20"/>
                <w:lang w:val="ro-RO"/>
                <w14:ligatures w14:val="none"/>
              </w:rPr>
              <w:t>Consiliul pentru egalitate</w:t>
            </w:r>
            <w:r w:rsidRPr="000C6E07">
              <w:rPr>
                <w:rFonts w:eastAsia="Times New Roman" w:cs="Times New Roman"/>
                <w:color w:val="000000"/>
                <w:sz w:val="20"/>
                <w:szCs w:val="20"/>
                <w:lang w:val="ro-RO"/>
                <w14:ligatures w14:val="none"/>
              </w:rPr>
              <w:t xml:space="preserve">; </w:t>
            </w:r>
          </w:p>
          <w:p w14:paraId="05595ED3" w14:textId="5E199098" w:rsidR="00CB1061" w:rsidRDefault="00CB1061" w:rsidP="00CB1061">
            <w:pPr>
              <w:spacing w:after="0"/>
              <w:jc w:val="center"/>
              <w:rPr>
                <w:rFonts w:eastAsia="Times New Roman" w:cs="Times New Roman"/>
                <w:color w:val="000000"/>
                <w:sz w:val="20"/>
                <w:szCs w:val="20"/>
                <w:lang w:val="ro-RO"/>
                <w14:ligatures w14:val="none"/>
              </w:rPr>
            </w:pPr>
            <w:r w:rsidRPr="005B4E58">
              <w:rPr>
                <w:rFonts w:eastAsia="Times New Roman" w:cs="Times New Roman"/>
                <w:color w:val="000000"/>
                <w:sz w:val="20"/>
                <w:szCs w:val="20"/>
                <w:lang w:val="ro-RO"/>
                <w14:ligatures w14:val="none"/>
              </w:rPr>
              <w:t>Consiliul Europei</w:t>
            </w:r>
            <w:r>
              <w:rPr>
                <w:rFonts w:eastAsia="Times New Roman" w:cs="Times New Roman"/>
                <w:color w:val="000000"/>
                <w:sz w:val="20"/>
                <w:szCs w:val="20"/>
                <w:lang w:val="ro-RO"/>
                <w14:ligatures w14:val="none"/>
              </w:rPr>
              <w:t>;</w:t>
            </w:r>
          </w:p>
          <w:p w14:paraId="40BA91F1" w14:textId="4F297AD0"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organizațiile societății civile</w:t>
            </w:r>
          </w:p>
        </w:tc>
      </w:tr>
      <w:tr w:rsidR="00CB1061" w:rsidRPr="000C6E07" w14:paraId="3DCB80EF" w14:textId="77777777" w:rsidTr="008E2BA2">
        <w:trPr>
          <w:trHeight w:val="416"/>
        </w:trPr>
        <w:tc>
          <w:tcPr>
            <w:tcW w:w="568" w:type="dxa"/>
            <w:vMerge/>
            <w:tcBorders>
              <w:top w:val="nil"/>
              <w:left w:val="single" w:sz="4" w:space="0" w:color="auto"/>
              <w:bottom w:val="single" w:sz="4" w:space="0" w:color="auto"/>
              <w:right w:val="single" w:sz="4" w:space="0" w:color="auto"/>
            </w:tcBorders>
            <w:hideMark/>
          </w:tcPr>
          <w:p w14:paraId="7CFEDA2E"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580519D6"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6BCFBC9"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xml:space="preserve">Instrucțiunea privind constatarea și examinarea contravențiilor motivate de prejudecată (Ordinul 257/2024) și PSO privind calificarea și investigarea infracțiunilor motivate de prejudecată </w:t>
            </w:r>
            <w:r w:rsidRPr="000C6E07">
              <w:rPr>
                <w:rFonts w:eastAsia="Times New Roman" w:cs="Times New Roman"/>
                <w:sz w:val="20"/>
                <w:szCs w:val="20"/>
                <w:lang w:val="ro-RO"/>
                <w14:ligatures w14:val="none"/>
              </w:rPr>
              <w:lastRenderedPageBreak/>
              <w:t>(Ordinul 90/2023) revizuite</w:t>
            </w:r>
          </w:p>
        </w:tc>
        <w:tc>
          <w:tcPr>
            <w:tcW w:w="1026" w:type="dxa"/>
            <w:tcBorders>
              <w:top w:val="nil"/>
              <w:left w:val="nil"/>
              <w:bottom w:val="single" w:sz="4" w:space="0" w:color="auto"/>
              <w:right w:val="single" w:sz="4" w:space="0" w:color="auto"/>
            </w:tcBorders>
            <w:vAlign w:val="center"/>
            <w:hideMark/>
          </w:tcPr>
          <w:p w14:paraId="2B142E1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378,2</w:t>
            </w:r>
          </w:p>
        </w:tc>
        <w:tc>
          <w:tcPr>
            <w:tcW w:w="1100" w:type="dxa"/>
            <w:tcBorders>
              <w:top w:val="nil"/>
              <w:left w:val="nil"/>
              <w:bottom w:val="single" w:sz="4" w:space="0" w:color="auto"/>
              <w:right w:val="single" w:sz="4" w:space="0" w:color="auto"/>
            </w:tcBorders>
            <w:vAlign w:val="center"/>
            <w:hideMark/>
          </w:tcPr>
          <w:p w14:paraId="403889DC"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378,2</w:t>
            </w:r>
          </w:p>
        </w:tc>
        <w:tc>
          <w:tcPr>
            <w:tcW w:w="1015" w:type="dxa"/>
            <w:tcBorders>
              <w:top w:val="nil"/>
              <w:left w:val="nil"/>
              <w:bottom w:val="single" w:sz="4" w:space="0" w:color="auto"/>
              <w:right w:val="single" w:sz="4" w:space="0" w:color="auto"/>
            </w:tcBorders>
            <w:vAlign w:val="center"/>
            <w:hideMark/>
          </w:tcPr>
          <w:p w14:paraId="540D998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8C7E3B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77830F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8FA1CE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378,2</w:t>
            </w:r>
          </w:p>
        </w:tc>
        <w:tc>
          <w:tcPr>
            <w:tcW w:w="1000" w:type="dxa"/>
            <w:tcBorders>
              <w:top w:val="nil"/>
              <w:left w:val="nil"/>
              <w:bottom w:val="single" w:sz="4" w:space="0" w:color="auto"/>
              <w:right w:val="single" w:sz="4" w:space="0" w:color="auto"/>
            </w:tcBorders>
            <w:vAlign w:val="center"/>
            <w:hideMark/>
          </w:tcPr>
          <w:p w14:paraId="2E33F98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F9671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CF3F70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657B68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E0353A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bottom w:val="single" w:sz="4" w:space="0" w:color="auto"/>
              <w:right w:val="single" w:sz="4" w:space="0" w:color="auto"/>
            </w:tcBorders>
            <w:vAlign w:val="center"/>
            <w:hideMark/>
          </w:tcPr>
          <w:p w14:paraId="70AD275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37FD2F4F" w14:textId="77777777" w:rsidTr="004356CF">
        <w:trPr>
          <w:trHeight w:val="780"/>
        </w:trPr>
        <w:tc>
          <w:tcPr>
            <w:tcW w:w="568" w:type="dxa"/>
            <w:tcBorders>
              <w:top w:val="nil"/>
              <w:left w:val="single" w:sz="4" w:space="0" w:color="auto"/>
              <w:bottom w:val="single" w:sz="4" w:space="0" w:color="auto"/>
              <w:right w:val="single" w:sz="4" w:space="0" w:color="auto"/>
            </w:tcBorders>
            <w:hideMark/>
          </w:tcPr>
          <w:p w14:paraId="431E378D" w14:textId="2D708435"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7945F72F"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Consolidarea cooperării cu societatea civilă</w:t>
            </w:r>
          </w:p>
        </w:tc>
        <w:tc>
          <w:tcPr>
            <w:tcW w:w="1843" w:type="dxa"/>
            <w:tcBorders>
              <w:top w:val="nil"/>
              <w:left w:val="nil"/>
              <w:bottom w:val="single" w:sz="4" w:space="0" w:color="auto"/>
              <w:right w:val="single" w:sz="4" w:space="0" w:color="auto"/>
            </w:tcBorders>
            <w:vAlign w:val="center"/>
            <w:hideMark/>
          </w:tcPr>
          <w:p w14:paraId="0C28B38C"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 masă rotundă / atelier organizate anual</w:t>
            </w:r>
          </w:p>
        </w:tc>
        <w:tc>
          <w:tcPr>
            <w:tcW w:w="1026" w:type="dxa"/>
            <w:tcBorders>
              <w:top w:val="nil"/>
              <w:left w:val="nil"/>
              <w:bottom w:val="single" w:sz="4" w:space="0" w:color="auto"/>
              <w:right w:val="single" w:sz="4" w:space="0" w:color="auto"/>
            </w:tcBorders>
            <w:vAlign w:val="center"/>
            <w:hideMark/>
          </w:tcPr>
          <w:p w14:paraId="107CC3E0"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1D731CD4"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6425AA2F"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3FEBD9F"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EBD297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29EDB179"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EBE3B9C"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301A28C"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0C58449"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470E3E6"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9E3D76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14CA828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64EE48E5" w14:textId="77777777" w:rsidTr="004356CF">
        <w:trPr>
          <w:trHeight w:val="2600"/>
        </w:trPr>
        <w:tc>
          <w:tcPr>
            <w:tcW w:w="568" w:type="dxa"/>
            <w:tcBorders>
              <w:top w:val="nil"/>
              <w:left w:val="single" w:sz="4" w:space="0" w:color="auto"/>
              <w:bottom w:val="single" w:sz="4" w:space="0" w:color="auto"/>
              <w:right w:val="single" w:sz="4" w:space="0" w:color="auto"/>
            </w:tcBorders>
            <w:hideMark/>
          </w:tcPr>
          <w:p w14:paraId="070CB621" w14:textId="6CD3F32E"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0DB3CDF5" w14:textId="71157B4D"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Crearea și operaționalizarea unui mecanism de identificare și autosesizare a cazurilor de discurs instigator la ură online și în rețelele de socializare</w:t>
            </w:r>
          </w:p>
        </w:tc>
        <w:tc>
          <w:tcPr>
            <w:tcW w:w="1843" w:type="dxa"/>
            <w:tcBorders>
              <w:top w:val="nil"/>
              <w:left w:val="nil"/>
              <w:bottom w:val="single" w:sz="4" w:space="0" w:color="auto"/>
              <w:right w:val="single" w:sz="4" w:space="0" w:color="auto"/>
            </w:tcBorders>
            <w:vAlign w:val="center"/>
            <w:hideMark/>
          </w:tcPr>
          <w:p w14:paraId="45F0EBCC"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Mecanism operaționalizat</w:t>
            </w:r>
          </w:p>
        </w:tc>
        <w:tc>
          <w:tcPr>
            <w:tcW w:w="1026" w:type="dxa"/>
            <w:tcBorders>
              <w:top w:val="nil"/>
              <w:left w:val="nil"/>
              <w:bottom w:val="single" w:sz="4" w:space="0" w:color="auto"/>
              <w:right w:val="single" w:sz="4" w:space="0" w:color="auto"/>
            </w:tcBorders>
            <w:vAlign w:val="center"/>
            <w:hideMark/>
          </w:tcPr>
          <w:p w14:paraId="4692C90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100" w:type="dxa"/>
            <w:tcBorders>
              <w:top w:val="nil"/>
              <w:left w:val="nil"/>
              <w:bottom w:val="single" w:sz="4" w:space="0" w:color="auto"/>
              <w:right w:val="single" w:sz="4" w:space="0" w:color="auto"/>
            </w:tcBorders>
            <w:vAlign w:val="center"/>
            <w:hideMark/>
          </w:tcPr>
          <w:p w14:paraId="0835E15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16118B8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922" w:type="dxa"/>
            <w:tcBorders>
              <w:top w:val="nil"/>
              <w:left w:val="nil"/>
              <w:bottom w:val="single" w:sz="4" w:space="0" w:color="auto"/>
              <w:right w:val="single" w:sz="4" w:space="0" w:color="auto"/>
            </w:tcBorders>
            <w:vAlign w:val="center"/>
            <w:hideMark/>
          </w:tcPr>
          <w:p w14:paraId="3A21E513" w14:textId="2E128B11"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3A838B33" w14:textId="77777777" w:rsidR="00CB1061" w:rsidRDefault="00CB1061" w:rsidP="00E86770">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3502</w:t>
            </w:r>
          </w:p>
          <w:p w14:paraId="1DDA1C73" w14:textId="77777777" w:rsidR="001E6E51" w:rsidRDefault="001E6E51" w:rsidP="00E86770">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Consiliul Europei</w:t>
            </w:r>
          </w:p>
          <w:p w14:paraId="415DE47E" w14:textId="00BADD60" w:rsidR="001E6E51" w:rsidRPr="00E86770" w:rsidRDefault="001E6E51" w:rsidP="00E86770">
            <w:pPr>
              <w:spacing w:after="0"/>
              <w:jc w:val="center"/>
              <w:rPr>
                <w:rFonts w:eastAsia="Times New Roman" w:cs="Times New Roman"/>
                <w:color w:val="000000"/>
                <w:sz w:val="20"/>
                <w:szCs w:val="20"/>
                <w:highlight w:val="yellow"/>
                <w:lang w:val="ro-RO"/>
                <w14:ligatures w14:val="none"/>
              </w:rPr>
            </w:pPr>
            <w:bookmarkStart w:id="11" w:name="_Hlk203575979"/>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bookmarkEnd w:id="11"/>
          </w:p>
        </w:tc>
        <w:tc>
          <w:tcPr>
            <w:tcW w:w="1000" w:type="dxa"/>
            <w:tcBorders>
              <w:top w:val="nil"/>
              <w:left w:val="nil"/>
              <w:bottom w:val="single" w:sz="4" w:space="0" w:color="auto"/>
              <w:right w:val="single" w:sz="4" w:space="0" w:color="auto"/>
            </w:tcBorders>
            <w:vAlign w:val="center"/>
            <w:hideMark/>
          </w:tcPr>
          <w:p w14:paraId="4A13806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931C5F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584405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300,0</w:t>
            </w:r>
          </w:p>
        </w:tc>
        <w:tc>
          <w:tcPr>
            <w:tcW w:w="1000" w:type="dxa"/>
            <w:tcBorders>
              <w:top w:val="nil"/>
              <w:left w:val="nil"/>
              <w:bottom w:val="single" w:sz="4" w:space="0" w:color="auto"/>
              <w:right w:val="single" w:sz="4" w:space="0" w:color="auto"/>
            </w:tcBorders>
            <w:vAlign w:val="center"/>
            <w:hideMark/>
          </w:tcPr>
          <w:p w14:paraId="2DA5188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1A9F0F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F8E275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2028</w:t>
            </w:r>
          </w:p>
        </w:tc>
        <w:tc>
          <w:tcPr>
            <w:tcW w:w="1162" w:type="dxa"/>
            <w:tcBorders>
              <w:top w:val="nil"/>
              <w:left w:val="nil"/>
              <w:bottom w:val="single" w:sz="4" w:space="0" w:color="auto"/>
              <w:right w:val="single" w:sz="4" w:space="0" w:color="auto"/>
            </w:tcBorders>
            <w:vAlign w:val="center"/>
            <w:hideMark/>
          </w:tcPr>
          <w:p w14:paraId="7DC21B04"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001E6E51">
              <w:rPr>
                <w:rFonts w:eastAsia="Times New Roman" w:cs="Times New Roman"/>
                <w:color w:val="000000"/>
                <w:sz w:val="20"/>
                <w:szCs w:val="20"/>
                <w:lang w:val="ro-RO"/>
                <w14:ligatures w14:val="none"/>
              </w:rPr>
              <w:t>;</w:t>
            </w:r>
          </w:p>
          <w:p w14:paraId="1A935B8C" w14:textId="77777777" w:rsidR="001E6E51" w:rsidRPr="001E6E51"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Consiliul Europei</w:t>
            </w:r>
          </w:p>
          <w:p w14:paraId="6B883F38" w14:textId="47F2C047" w:rsidR="001E6E51" w:rsidRPr="000C6E07"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r>
      <w:tr w:rsidR="00CB1061" w:rsidRPr="000C6E07" w14:paraId="6C388FA7" w14:textId="77777777" w:rsidTr="004356CF">
        <w:trPr>
          <w:trHeight w:val="1300"/>
        </w:trPr>
        <w:tc>
          <w:tcPr>
            <w:tcW w:w="568" w:type="dxa"/>
            <w:vMerge w:val="restart"/>
            <w:tcBorders>
              <w:top w:val="nil"/>
              <w:left w:val="single" w:sz="4" w:space="0" w:color="auto"/>
              <w:bottom w:val="single" w:sz="4" w:space="0" w:color="000000"/>
              <w:right w:val="single" w:sz="4" w:space="0" w:color="auto"/>
            </w:tcBorders>
            <w:hideMark/>
          </w:tcPr>
          <w:p w14:paraId="246F5548" w14:textId="7D816A1F"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4A1B16F" w14:textId="1FA99D20" w:rsidR="00CB1061" w:rsidRPr="008252AB"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Îmbunătățirea procesului de constatare a contravențiilor privind discursul instigator la ură</w:t>
            </w:r>
          </w:p>
          <w:p w14:paraId="5E2767B2" w14:textId="77777777" w:rsidR="00CB1061" w:rsidRPr="000C6E07" w:rsidRDefault="00CB1061" w:rsidP="00E86770">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8C20EE0"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150 angajați instruiți anual privind identificarea, calificare și documentarea discursului instigator la ură</w:t>
            </w:r>
          </w:p>
        </w:tc>
        <w:tc>
          <w:tcPr>
            <w:tcW w:w="1026" w:type="dxa"/>
            <w:tcBorders>
              <w:top w:val="nil"/>
              <w:left w:val="nil"/>
              <w:bottom w:val="single" w:sz="4" w:space="0" w:color="auto"/>
              <w:right w:val="single" w:sz="4" w:space="0" w:color="auto"/>
            </w:tcBorders>
            <w:vAlign w:val="center"/>
            <w:hideMark/>
          </w:tcPr>
          <w:p w14:paraId="37C180D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1.050,0</w:t>
            </w:r>
          </w:p>
        </w:tc>
        <w:tc>
          <w:tcPr>
            <w:tcW w:w="1100" w:type="dxa"/>
            <w:tcBorders>
              <w:top w:val="nil"/>
              <w:left w:val="nil"/>
              <w:bottom w:val="single" w:sz="4" w:space="0" w:color="auto"/>
              <w:right w:val="single" w:sz="4" w:space="0" w:color="auto"/>
            </w:tcBorders>
            <w:vAlign w:val="center"/>
            <w:hideMark/>
          </w:tcPr>
          <w:p w14:paraId="15788D4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CD18A9B"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1.050,0</w:t>
            </w:r>
          </w:p>
        </w:tc>
        <w:tc>
          <w:tcPr>
            <w:tcW w:w="922" w:type="dxa"/>
            <w:tcBorders>
              <w:top w:val="nil"/>
              <w:left w:val="nil"/>
              <w:bottom w:val="single" w:sz="4" w:space="0" w:color="auto"/>
              <w:right w:val="single" w:sz="4" w:space="0" w:color="auto"/>
            </w:tcBorders>
            <w:vAlign w:val="center"/>
            <w:hideMark/>
          </w:tcPr>
          <w:p w14:paraId="1DBF28AA" w14:textId="6FF89254"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182" w:type="dxa"/>
            <w:tcBorders>
              <w:top w:val="nil"/>
              <w:left w:val="nil"/>
              <w:bottom w:val="single" w:sz="4" w:space="0" w:color="auto"/>
              <w:right w:val="single" w:sz="4" w:space="0" w:color="auto"/>
            </w:tcBorders>
            <w:vAlign w:val="center"/>
            <w:hideMark/>
          </w:tcPr>
          <w:p w14:paraId="5B9F7DAE" w14:textId="77777777" w:rsidR="00CB1061" w:rsidRDefault="00E86770"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3502</w:t>
            </w:r>
          </w:p>
          <w:p w14:paraId="10A55E38" w14:textId="77777777" w:rsidR="001E6E51" w:rsidRDefault="001E6E51" w:rsidP="001E6E5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Consiliul Europei</w:t>
            </w:r>
          </w:p>
          <w:p w14:paraId="4987B8C1" w14:textId="6318DCBF" w:rsidR="001E6E51" w:rsidRPr="000C6E07"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c>
          <w:tcPr>
            <w:tcW w:w="1000" w:type="dxa"/>
            <w:tcBorders>
              <w:top w:val="nil"/>
              <w:left w:val="nil"/>
              <w:bottom w:val="single" w:sz="4" w:space="0" w:color="auto"/>
              <w:right w:val="single" w:sz="4" w:space="0" w:color="auto"/>
            </w:tcBorders>
            <w:vAlign w:val="center"/>
            <w:hideMark/>
          </w:tcPr>
          <w:p w14:paraId="76C7AA6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64E095D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16E15F4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5F11F30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4EA5162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82" w:type="dxa"/>
            <w:tcBorders>
              <w:top w:val="nil"/>
              <w:left w:val="nil"/>
              <w:bottom w:val="single" w:sz="4" w:space="0" w:color="auto"/>
              <w:right w:val="single" w:sz="4" w:space="0" w:color="auto"/>
            </w:tcBorders>
            <w:vAlign w:val="center"/>
            <w:hideMark/>
          </w:tcPr>
          <w:p w14:paraId="2E4FC25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59EA70ED"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001E6E51">
              <w:rPr>
                <w:rFonts w:eastAsia="Times New Roman" w:cs="Times New Roman"/>
                <w:color w:val="000000"/>
                <w:sz w:val="20"/>
                <w:szCs w:val="20"/>
                <w:lang w:val="ro-RO"/>
                <w14:ligatures w14:val="none"/>
              </w:rPr>
              <w:t>;</w:t>
            </w:r>
          </w:p>
          <w:p w14:paraId="11FB1F8C" w14:textId="77777777" w:rsidR="001E6E51" w:rsidRPr="001E6E51"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Consiliul Europei</w:t>
            </w:r>
          </w:p>
          <w:p w14:paraId="44E04EB7" w14:textId="69F60377" w:rsidR="001E6E51" w:rsidRPr="000C6E07"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r>
      <w:tr w:rsidR="00CB1061" w:rsidRPr="000C6E07" w14:paraId="51E4A148" w14:textId="77777777" w:rsidTr="004356CF">
        <w:trPr>
          <w:trHeight w:val="1040"/>
        </w:trPr>
        <w:tc>
          <w:tcPr>
            <w:tcW w:w="568" w:type="dxa"/>
            <w:vMerge/>
            <w:tcBorders>
              <w:top w:val="nil"/>
              <w:left w:val="single" w:sz="4" w:space="0" w:color="auto"/>
              <w:bottom w:val="single" w:sz="4" w:space="0" w:color="000000"/>
              <w:right w:val="single" w:sz="4" w:space="0" w:color="auto"/>
            </w:tcBorders>
            <w:hideMark/>
          </w:tcPr>
          <w:p w14:paraId="50EBFD51"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861EBD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FA046CE" w14:textId="7356AE62" w:rsidR="00CB1061" w:rsidRPr="000C6E07" w:rsidRDefault="00CB1061" w:rsidP="00CB1061">
            <w:pPr>
              <w:spacing w:after="0"/>
              <w:jc w:val="center"/>
              <w:rPr>
                <w:rFonts w:eastAsia="Times New Roman" w:cs="Times New Roman"/>
                <w:sz w:val="20"/>
                <w:szCs w:val="20"/>
                <w:lang w:val="ro-RO"/>
                <w14:ligatures w14:val="none"/>
              </w:rPr>
            </w:pPr>
            <w:r w:rsidRPr="00E86770">
              <w:rPr>
                <w:rFonts w:eastAsia="Times New Roman" w:cs="Times New Roman"/>
                <w:sz w:val="20"/>
                <w:szCs w:val="20"/>
                <w:lang w:val="ro-RO"/>
                <w14:ligatures w14:val="none"/>
              </w:rPr>
              <w:t>Modelul standardizat de</w:t>
            </w:r>
            <w:r>
              <w:rPr>
                <w:rFonts w:eastAsia="Times New Roman" w:cs="Times New Roman"/>
                <w:sz w:val="20"/>
                <w:szCs w:val="20"/>
                <w:lang w:val="ro-RO"/>
                <w14:ligatures w14:val="none"/>
              </w:rPr>
              <w:t xml:space="preserve"> </w:t>
            </w:r>
            <w:r w:rsidRPr="000C6E07">
              <w:rPr>
                <w:rFonts w:eastAsia="Times New Roman" w:cs="Times New Roman"/>
                <w:sz w:val="20"/>
                <w:szCs w:val="20"/>
                <w:lang w:val="ro-RO"/>
                <w14:ligatures w14:val="none"/>
              </w:rPr>
              <w:t>rapor</w:t>
            </w:r>
            <w:r>
              <w:rPr>
                <w:rFonts w:eastAsia="Times New Roman" w:cs="Times New Roman"/>
                <w:sz w:val="20"/>
                <w:szCs w:val="20"/>
                <w:lang w:val="ro-RO"/>
                <w14:ligatures w14:val="none"/>
              </w:rPr>
              <w:t>t</w:t>
            </w:r>
            <w:r w:rsidRPr="000C6E07">
              <w:rPr>
                <w:rFonts w:eastAsia="Times New Roman" w:cs="Times New Roman"/>
                <w:sz w:val="20"/>
                <w:szCs w:val="20"/>
                <w:lang w:val="ro-RO"/>
                <w14:ligatures w14:val="none"/>
              </w:rPr>
              <w:t xml:space="preserve">/anexă la procesul verbal cu privire la </w:t>
            </w:r>
            <w:r w:rsidRPr="000C6E07">
              <w:rPr>
                <w:rFonts w:eastAsia="Times New Roman" w:cs="Times New Roman"/>
                <w:sz w:val="20"/>
                <w:szCs w:val="20"/>
                <w:lang w:val="ro-RO"/>
                <w14:ligatures w14:val="none"/>
              </w:rPr>
              <w:lastRenderedPageBreak/>
              <w:t>contravenție elaborat</w:t>
            </w:r>
          </w:p>
        </w:tc>
        <w:tc>
          <w:tcPr>
            <w:tcW w:w="1026" w:type="dxa"/>
            <w:tcBorders>
              <w:top w:val="nil"/>
              <w:left w:val="nil"/>
              <w:bottom w:val="single" w:sz="4" w:space="0" w:color="auto"/>
              <w:right w:val="single" w:sz="4" w:space="0" w:color="auto"/>
            </w:tcBorders>
            <w:vAlign w:val="center"/>
            <w:hideMark/>
          </w:tcPr>
          <w:p w14:paraId="32C9282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66,9</w:t>
            </w:r>
          </w:p>
        </w:tc>
        <w:tc>
          <w:tcPr>
            <w:tcW w:w="1100" w:type="dxa"/>
            <w:tcBorders>
              <w:top w:val="nil"/>
              <w:left w:val="nil"/>
              <w:bottom w:val="single" w:sz="4" w:space="0" w:color="auto"/>
              <w:right w:val="single" w:sz="4" w:space="0" w:color="auto"/>
            </w:tcBorders>
            <w:vAlign w:val="center"/>
            <w:hideMark/>
          </w:tcPr>
          <w:p w14:paraId="6A1709E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10E4E98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8DF690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DCD505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88F094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2264626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01EFEE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024B6D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B86F2F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323603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 2026</w:t>
            </w:r>
          </w:p>
        </w:tc>
        <w:tc>
          <w:tcPr>
            <w:tcW w:w="1162" w:type="dxa"/>
            <w:tcBorders>
              <w:top w:val="nil"/>
              <w:left w:val="nil"/>
              <w:bottom w:val="single" w:sz="4" w:space="0" w:color="auto"/>
              <w:right w:val="single" w:sz="4" w:space="0" w:color="auto"/>
            </w:tcBorders>
            <w:vAlign w:val="center"/>
            <w:hideMark/>
          </w:tcPr>
          <w:p w14:paraId="5F30100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6A420743" w14:textId="77777777" w:rsidTr="004356CF">
        <w:trPr>
          <w:trHeight w:val="1300"/>
        </w:trPr>
        <w:tc>
          <w:tcPr>
            <w:tcW w:w="568" w:type="dxa"/>
            <w:vMerge/>
            <w:tcBorders>
              <w:top w:val="nil"/>
              <w:left w:val="single" w:sz="4" w:space="0" w:color="auto"/>
              <w:bottom w:val="single" w:sz="4" w:space="0" w:color="000000"/>
              <w:right w:val="single" w:sz="4" w:space="0" w:color="auto"/>
            </w:tcBorders>
            <w:hideMark/>
          </w:tcPr>
          <w:p w14:paraId="4B0C29D6"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CADD90D"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46C8730" w14:textId="77777777" w:rsidR="00CB1061" w:rsidRPr="000C6E07" w:rsidRDefault="00CB1061" w:rsidP="00CB1061">
            <w:pPr>
              <w:spacing w:after="0"/>
              <w:jc w:val="center"/>
              <w:rPr>
                <w:rFonts w:eastAsia="Times New Roman" w:cs="Times New Roman"/>
                <w:sz w:val="20"/>
                <w:szCs w:val="20"/>
                <w:lang w:val="ro-RO"/>
                <w14:ligatures w14:val="none"/>
              </w:rPr>
            </w:pPr>
            <w:r w:rsidRPr="000C6E07">
              <w:rPr>
                <w:rFonts w:eastAsia="Times New Roman" w:cs="Times New Roman"/>
                <w:sz w:val="20"/>
                <w:szCs w:val="20"/>
                <w:lang w:val="ro-RO"/>
                <w14:ligatures w14:val="none"/>
              </w:rPr>
              <w:t>150 angajați instruiți anual pentru creșterea calității argumentative a procesului verbal cu privire la contravenție.</w:t>
            </w:r>
          </w:p>
        </w:tc>
        <w:tc>
          <w:tcPr>
            <w:tcW w:w="1026" w:type="dxa"/>
            <w:tcBorders>
              <w:top w:val="nil"/>
              <w:left w:val="nil"/>
              <w:bottom w:val="single" w:sz="4" w:space="0" w:color="auto"/>
              <w:right w:val="single" w:sz="4" w:space="0" w:color="auto"/>
            </w:tcBorders>
            <w:vAlign w:val="center"/>
            <w:hideMark/>
          </w:tcPr>
          <w:p w14:paraId="728B108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1.050,0</w:t>
            </w:r>
          </w:p>
        </w:tc>
        <w:tc>
          <w:tcPr>
            <w:tcW w:w="1100" w:type="dxa"/>
            <w:tcBorders>
              <w:top w:val="nil"/>
              <w:left w:val="nil"/>
              <w:bottom w:val="single" w:sz="4" w:space="0" w:color="auto"/>
              <w:right w:val="single" w:sz="4" w:space="0" w:color="auto"/>
            </w:tcBorders>
            <w:vAlign w:val="center"/>
            <w:hideMark/>
          </w:tcPr>
          <w:p w14:paraId="5C051D6C"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B469C1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1.050,0</w:t>
            </w:r>
          </w:p>
        </w:tc>
        <w:tc>
          <w:tcPr>
            <w:tcW w:w="922" w:type="dxa"/>
            <w:tcBorders>
              <w:top w:val="nil"/>
              <w:left w:val="nil"/>
              <w:bottom w:val="single" w:sz="4" w:space="0" w:color="auto"/>
              <w:right w:val="single" w:sz="4" w:space="0" w:color="auto"/>
            </w:tcBorders>
            <w:vAlign w:val="center"/>
            <w:hideMark/>
          </w:tcPr>
          <w:p w14:paraId="6EDFE33E" w14:textId="0B1CEE8F"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44D737F5" w14:textId="77777777" w:rsidR="00CB1061" w:rsidRDefault="00CB1061" w:rsidP="00E86770">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3502</w:t>
            </w:r>
          </w:p>
          <w:p w14:paraId="0F8A7D89" w14:textId="77777777" w:rsidR="001E6E51" w:rsidRDefault="001E6E51" w:rsidP="001E6E5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Consiliul Europei</w:t>
            </w:r>
          </w:p>
          <w:p w14:paraId="1E1DB225" w14:textId="725012B3" w:rsidR="001E6E51" w:rsidRPr="00E86770" w:rsidRDefault="001E6E51" w:rsidP="001E6E51">
            <w:pPr>
              <w:spacing w:after="0"/>
              <w:jc w:val="center"/>
              <w:rPr>
                <w:rFonts w:eastAsia="Times New Roman" w:cs="Times New Roman"/>
                <w:color w:val="000000"/>
                <w:sz w:val="20"/>
                <w:szCs w:val="20"/>
                <w:highlight w:val="yellow"/>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c>
          <w:tcPr>
            <w:tcW w:w="1000" w:type="dxa"/>
            <w:tcBorders>
              <w:top w:val="nil"/>
              <w:left w:val="nil"/>
              <w:bottom w:val="single" w:sz="4" w:space="0" w:color="auto"/>
              <w:right w:val="single" w:sz="4" w:space="0" w:color="auto"/>
            </w:tcBorders>
            <w:vAlign w:val="center"/>
            <w:hideMark/>
          </w:tcPr>
          <w:p w14:paraId="7447E93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05CAD08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50AE941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547460B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00" w:type="dxa"/>
            <w:tcBorders>
              <w:top w:val="nil"/>
              <w:left w:val="nil"/>
              <w:bottom w:val="single" w:sz="4" w:space="0" w:color="auto"/>
              <w:right w:val="single" w:sz="4" w:space="0" w:color="auto"/>
            </w:tcBorders>
            <w:vAlign w:val="center"/>
            <w:hideMark/>
          </w:tcPr>
          <w:p w14:paraId="0FB034D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210</w:t>
            </w:r>
          </w:p>
        </w:tc>
        <w:tc>
          <w:tcPr>
            <w:tcW w:w="1082" w:type="dxa"/>
            <w:tcBorders>
              <w:top w:val="nil"/>
              <w:left w:val="nil"/>
              <w:bottom w:val="single" w:sz="4" w:space="0" w:color="auto"/>
              <w:right w:val="single" w:sz="4" w:space="0" w:color="auto"/>
            </w:tcBorders>
            <w:vAlign w:val="center"/>
            <w:hideMark/>
          </w:tcPr>
          <w:p w14:paraId="75E6D69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tcBorders>
              <w:top w:val="nil"/>
              <w:left w:val="nil"/>
              <w:bottom w:val="single" w:sz="4" w:space="0" w:color="auto"/>
              <w:right w:val="single" w:sz="4" w:space="0" w:color="auto"/>
            </w:tcBorders>
            <w:vAlign w:val="center"/>
            <w:hideMark/>
          </w:tcPr>
          <w:p w14:paraId="1C8BF35A"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r w:rsidR="001E6E51">
              <w:rPr>
                <w:rFonts w:eastAsia="Times New Roman" w:cs="Times New Roman"/>
                <w:color w:val="000000"/>
                <w:sz w:val="20"/>
                <w:szCs w:val="20"/>
                <w:lang w:val="ro-RO"/>
                <w14:ligatures w14:val="none"/>
              </w:rPr>
              <w:t>;</w:t>
            </w:r>
          </w:p>
          <w:p w14:paraId="40038735" w14:textId="77777777" w:rsidR="001E6E51" w:rsidRPr="001E6E51"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Consiliul Europei</w:t>
            </w:r>
          </w:p>
          <w:p w14:paraId="33C3668D" w14:textId="6266C8FB" w:rsidR="001E6E51" w:rsidRPr="000C6E07" w:rsidRDefault="001E6E51" w:rsidP="001E6E51">
            <w:pPr>
              <w:spacing w:after="0"/>
              <w:jc w:val="center"/>
              <w:rPr>
                <w:rFonts w:eastAsia="Times New Roman" w:cs="Times New Roman"/>
                <w:color w:val="000000"/>
                <w:sz w:val="20"/>
                <w:szCs w:val="20"/>
                <w:lang w:val="ro-RO"/>
                <w14:ligatures w14:val="none"/>
              </w:rPr>
            </w:pPr>
            <w:r w:rsidRPr="001E6E51">
              <w:rPr>
                <w:rFonts w:eastAsia="Times New Roman" w:cs="Times New Roman"/>
                <w:color w:val="000000"/>
                <w:sz w:val="20"/>
                <w:szCs w:val="20"/>
                <w:lang w:val="ro-RO"/>
                <w14:ligatures w14:val="none"/>
              </w:rPr>
              <w:t>O</w:t>
            </w:r>
            <w:r>
              <w:rPr>
                <w:rFonts w:eastAsia="Times New Roman" w:cs="Times New Roman"/>
                <w:color w:val="000000"/>
                <w:sz w:val="20"/>
                <w:szCs w:val="20"/>
                <w:lang w:val="ro-RO"/>
                <w14:ligatures w14:val="none"/>
              </w:rPr>
              <w:t>ficiul ONU pentru Drepturile Omului</w:t>
            </w:r>
          </w:p>
        </w:tc>
      </w:tr>
      <w:tr w:rsidR="00CB1061" w:rsidRPr="000C6E07" w14:paraId="12A5900F" w14:textId="77777777" w:rsidTr="004356CF">
        <w:trPr>
          <w:trHeight w:val="1040"/>
        </w:trPr>
        <w:tc>
          <w:tcPr>
            <w:tcW w:w="568" w:type="dxa"/>
            <w:vMerge w:val="restart"/>
            <w:tcBorders>
              <w:top w:val="nil"/>
              <w:left w:val="single" w:sz="4" w:space="0" w:color="auto"/>
              <w:bottom w:val="single" w:sz="4" w:space="0" w:color="auto"/>
              <w:right w:val="single" w:sz="4" w:space="0" w:color="auto"/>
            </w:tcBorders>
            <w:hideMark/>
          </w:tcPr>
          <w:p w14:paraId="021D7F98" w14:textId="6037A1B8"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0B48D10"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Promovarea comunicării adaptate la necesitățile grupurilor vulnerabile </w:t>
            </w:r>
          </w:p>
        </w:tc>
        <w:tc>
          <w:tcPr>
            <w:tcW w:w="1843" w:type="dxa"/>
            <w:tcBorders>
              <w:top w:val="nil"/>
              <w:left w:val="nil"/>
              <w:bottom w:val="single" w:sz="4" w:space="0" w:color="auto"/>
              <w:right w:val="single" w:sz="4" w:space="0" w:color="auto"/>
            </w:tcBorders>
            <w:vAlign w:val="center"/>
            <w:hideMark/>
          </w:tcPr>
          <w:p w14:paraId="6994640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Cerințe minime în baza necesităților speciale de comunicare ale grupurilor vulnerabile stabilite</w:t>
            </w:r>
          </w:p>
        </w:tc>
        <w:tc>
          <w:tcPr>
            <w:tcW w:w="1026" w:type="dxa"/>
            <w:tcBorders>
              <w:top w:val="nil"/>
              <w:left w:val="nil"/>
              <w:bottom w:val="single" w:sz="4" w:space="0" w:color="auto"/>
              <w:right w:val="single" w:sz="4" w:space="0" w:color="auto"/>
            </w:tcBorders>
            <w:vAlign w:val="center"/>
            <w:hideMark/>
          </w:tcPr>
          <w:p w14:paraId="7CCF0AE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2DE24B5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D71E39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535B3A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83B1C8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EC1A2A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58900E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3F4BF6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5F238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FE23DA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564A45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2026</w:t>
            </w:r>
          </w:p>
        </w:tc>
        <w:tc>
          <w:tcPr>
            <w:tcW w:w="1162" w:type="dxa"/>
            <w:vMerge w:val="restart"/>
            <w:tcBorders>
              <w:top w:val="nil"/>
              <w:left w:val="single" w:sz="4" w:space="0" w:color="auto"/>
              <w:bottom w:val="single" w:sz="4" w:space="0" w:color="000000"/>
              <w:right w:val="single" w:sz="4" w:space="0" w:color="auto"/>
            </w:tcBorders>
            <w:vAlign w:val="center"/>
            <w:hideMark/>
          </w:tcPr>
          <w:p w14:paraId="510046B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Alianța Organizațiilor pentru Persoane cu Dizabilități din Republica Moldova; Alianța „</w:t>
            </w:r>
            <w:proofErr w:type="spellStart"/>
            <w:r w:rsidRPr="000C6E07">
              <w:rPr>
                <w:rFonts w:eastAsia="Times New Roman" w:cs="Times New Roman"/>
                <w:color w:val="000000"/>
                <w:sz w:val="20"/>
                <w:szCs w:val="20"/>
                <w:lang w:val="ro-RO"/>
                <w14:ligatures w14:val="none"/>
              </w:rPr>
              <w:t>Infonet</w:t>
            </w:r>
            <w:proofErr w:type="spellEnd"/>
            <w:r w:rsidRPr="000C6E07">
              <w:rPr>
                <w:rFonts w:eastAsia="Times New Roman" w:cs="Times New Roman"/>
                <w:color w:val="000000"/>
                <w:sz w:val="20"/>
                <w:szCs w:val="20"/>
                <w:lang w:val="ro-RO"/>
                <w14:ligatures w14:val="none"/>
              </w:rPr>
              <w:t>”; Asociația Nevăzătoril</w:t>
            </w:r>
            <w:r w:rsidRPr="000C6E07">
              <w:rPr>
                <w:rFonts w:eastAsia="Times New Roman" w:cs="Times New Roman"/>
                <w:color w:val="000000"/>
                <w:sz w:val="20"/>
                <w:szCs w:val="20"/>
                <w:lang w:val="ro-RO"/>
                <w14:ligatures w14:val="none"/>
              </w:rPr>
              <w:lastRenderedPageBreak/>
              <w:t>or din Moldova; Asociația Surzilor din Republica Moldova; Asociația „Motivație”</w:t>
            </w:r>
          </w:p>
        </w:tc>
      </w:tr>
      <w:tr w:rsidR="00CB1061" w:rsidRPr="000C6E07" w14:paraId="2D841854"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74943E0D"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761D782C"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3982F2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Necesar de echipament pentru facilitarea comunicării cu persoanele cu dizabilități senzoriale identificat </w:t>
            </w:r>
          </w:p>
        </w:tc>
        <w:tc>
          <w:tcPr>
            <w:tcW w:w="1026" w:type="dxa"/>
            <w:tcBorders>
              <w:top w:val="nil"/>
              <w:left w:val="nil"/>
              <w:bottom w:val="single" w:sz="4" w:space="0" w:color="auto"/>
              <w:right w:val="single" w:sz="4" w:space="0" w:color="auto"/>
            </w:tcBorders>
            <w:vAlign w:val="center"/>
            <w:hideMark/>
          </w:tcPr>
          <w:p w14:paraId="605534F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3FDEE7F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6575B39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F777EE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564D001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630A7DC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4871C7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E5B184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BE637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DFA646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9EBC38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tcBorders>
              <w:top w:val="nil"/>
              <w:left w:val="single" w:sz="4" w:space="0" w:color="auto"/>
              <w:bottom w:val="single" w:sz="4" w:space="0" w:color="000000"/>
              <w:right w:val="single" w:sz="4" w:space="0" w:color="auto"/>
            </w:tcBorders>
            <w:vAlign w:val="center"/>
            <w:hideMark/>
          </w:tcPr>
          <w:p w14:paraId="54B7E2C9"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08B11568"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3FA62A27"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ABF9A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49458B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Echipament achiziționat</w:t>
            </w:r>
          </w:p>
        </w:tc>
        <w:tc>
          <w:tcPr>
            <w:tcW w:w="1026" w:type="dxa"/>
            <w:tcBorders>
              <w:top w:val="nil"/>
              <w:left w:val="nil"/>
              <w:bottom w:val="single" w:sz="4" w:space="0" w:color="auto"/>
              <w:right w:val="single" w:sz="4" w:space="0" w:color="auto"/>
            </w:tcBorders>
            <w:vAlign w:val="center"/>
            <w:hideMark/>
          </w:tcPr>
          <w:p w14:paraId="3A1BA23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1.376,5</w:t>
            </w:r>
          </w:p>
        </w:tc>
        <w:tc>
          <w:tcPr>
            <w:tcW w:w="1100" w:type="dxa"/>
            <w:tcBorders>
              <w:top w:val="nil"/>
              <w:left w:val="nil"/>
              <w:bottom w:val="single" w:sz="4" w:space="0" w:color="auto"/>
              <w:right w:val="single" w:sz="4" w:space="0" w:color="auto"/>
            </w:tcBorders>
            <w:vAlign w:val="center"/>
            <w:hideMark/>
          </w:tcPr>
          <w:p w14:paraId="512C0ED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1.376,5</w:t>
            </w:r>
          </w:p>
        </w:tc>
        <w:tc>
          <w:tcPr>
            <w:tcW w:w="1015" w:type="dxa"/>
            <w:tcBorders>
              <w:top w:val="nil"/>
              <w:left w:val="nil"/>
              <w:bottom w:val="single" w:sz="4" w:space="0" w:color="auto"/>
              <w:right w:val="single" w:sz="4" w:space="0" w:color="auto"/>
            </w:tcBorders>
            <w:vAlign w:val="center"/>
            <w:hideMark/>
          </w:tcPr>
          <w:p w14:paraId="22426B0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90FECD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2FDC80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7CEF78C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9FA3C8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FF0917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1.376,5</w:t>
            </w:r>
          </w:p>
        </w:tc>
        <w:tc>
          <w:tcPr>
            <w:tcW w:w="1000" w:type="dxa"/>
            <w:tcBorders>
              <w:top w:val="nil"/>
              <w:left w:val="nil"/>
              <w:bottom w:val="single" w:sz="4" w:space="0" w:color="auto"/>
              <w:right w:val="single" w:sz="4" w:space="0" w:color="auto"/>
            </w:tcBorders>
            <w:vAlign w:val="center"/>
            <w:hideMark/>
          </w:tcPr>
          <w:p w14:paraId="2B0918D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0B843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FDC191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29BB1212"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48476A78" w14:textId="77777777" w:rsidTr="004356CF">
        <w:trPr>
          <w:trHeight w:val="1820"/>
        </w:trPr>
        <w:tc>
          <w:tcPr>
            <w:tcW w:w="568" w:type="dxa"/>
            <w:vMerge/>
            <w:tcBorders>
              <w:top w:val="nil"/>
              <w:left w:val="single" w:sz="4" w:space="0" w:color="auto"/>
              <w:bottom w:val="single" w:sz="4" w:space="0" w:color="auto"/>
              <w:right w:val="single" w:sz="4" w:space="0" w:color="auto"/>
            </w:tcBorders>
            <w:hideMark/>
          </w:tcPr>
          <w:p w14:paraId="0C8EFA98"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4305B7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2E3160D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2500 de angajați instruiți în utilizarea echipamentului</w:t>
            </w:r>
          </w:p>
        </w:tc>
        <w:tc>
          <w:tcPr>
            <w:tcW w:w="1026" w:type="dxa"/>
            <w:tcBorders>
              <w:top w:val="nil"/>
              <w:left w:val="nil"/>
              <w:bottom w:val="single" w:sz="4" w:space="0" w:color="auto"/>
              <w:right w:val="single" w:sz="4" w:space="0" w:color="auto"/>
            </w:tcBorders>
            <w:vAlign w:val="center"/>
            <w:hideMark/>
          </w:tcPr>
          <w:p w14:paraId="375DAB1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3.500,0</w:t>
            </w:r>
          </w:p>
        </w:tc>
        <w:tc>
          <w:tcPr>
            <w:tcW w:w="1100" w:type="dxa"/>
            <w:tcBorders>
              <w:top w:val="nil"/>
              <w:left w:val="nil"/>
              <w:bottom w:val="single" w:sz="4" w:space="0" w:color="auto"/>
              <w:right w:val="single" w:sz="4" w:space="0" w:color="auto"/>
            </w:tcBorders>
            <w:vAlign w:val="center"/>
            <w:hideMark/>
          </w:tcPr>
          <w:p w14:paraId="1F79830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3.500,0</w:t>
            </w:r>
          </w:p>
        </w:tc>
        <w:tc>
          <w:tcPr>
            <w:tcW w:w="1015" w:type="dxa"/>
            <w:tcBorders>
              <w:top w:val="nil"/>
              <w:left w:val="nil"/>
              <w:bottom w:val="single" w:sz="4" w:space="0" w:color="auto"/>
              <w:right w:val="single" w:sz="4" w:space="0" w:color="auto"/>
            </w:tcBorders>
            <w:vAlign w:val="center"/>
            <w:hideMark/>
          </w:tcPr>
          <w:p w14:paraId="13A445B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20132A5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A4D040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tcBorders>
              <w:top w:val="nil"/>
              <w:left w:val="nil"/>
              <w:bottom w:val="single" w:sz="4" w:space="0" w:color="auto"/>
              <w:right w:val="single" w:sz="4" w:space="0" w:color="auto"/>
            </w:tcBorders>
            <w:vAlign w:val="center"/>
            <w:hideMark/>
          </w:tcPr>
          <w:p w14:paraId="17A177D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880068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287D13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F73340E"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3.500,0</w:t>
            </w:r>
          </w:p>
        </w:tc>
        <w:tc>
          <w:tcPr>
            <w:tcW w:w="1000" w:type="dxa"/>
            <w:tcBorders>
              <w:top w:val="nil"/>
              <w:left w:val="nil"/>
              <w:bottom w:val="single" w:sz="4" w:space="0" w:color="auto"/>
              <w:right w:val="single" w:sz="4" w:space="0" w:color="auto"/>
            </w:tcBorders>
            <w:vAlign w:val="center"/>
            <w:hideMark/>
          </w:tcPr>
          <w:p w14:paraId="41A0D29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1BB5B4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decurs de 1 an de la achiziționare</w:t>
            </w:r>
            <w:r w:rsidRPr="000C6E07">
              <w:rPr>
                <w:rFonts w:eastAsia="Times New Roman" w:cs="Times New Roman"/>
                <w:color w:val="000000"/>
                <w:sz w:val="20"/>
                <w:szCs w:val="20"/>
                <w:lang w:val="ro-RO"/>
                <w14:ligatures w14:val="none"/>
              </w:rPr>
              <w:b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1BA9484D"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0FC59666"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76CC55C8"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803D1D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5960C6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10 angajați instruiți în comunicarea </w:t>
            </w:r>
            <w:proofErr w:type="spellStart"/>
            <w:r w:rsidRPr="000C6E07">
              <w:rPr>
                <w:rFonts w:eastAsia="Times New Roman" w:cs="Times New Roman"/>
                <w:color w:val="000000"/>
                <w:sz w:val="20"/>
                <w:szCs w:val="20"/>
                <w:lang w:val="ro-RO"/>
                <w14:ligatures w14:val="none"/>
              </w:rPr>
              <w:t>mimico</w:t>
            </w:r>
            <w:proofErr w:type="spellEnd"/>
            <w:r w:rsidRPr="000C6E07">
              <w:rPr>
                <w:rFonts w:eastAsia="Times New Roman" w:cs="Times New Roman"/>
                <w:color w:val="000000"/>
                <w:sz w:val="20"/>
                <w:szCs w:val="20"/>
                <w:lang w:val="ro-RO"/>
                <w14:ligatures w14:val="none"/>
              </w:rPr>
              <w:t xml:space="preserve">-gestuală </w:t>
            </w:r>
          </w:p>
        </w:tc>
        <w:tc>
          <w:tcPr>
            <w:tcW w:w="1026" w:type="dxa"/>
            <w:tcBorders>
              <w:top w:val="nil"/>
              <w:left w:val="nil"/>
              <w:bottom w:val="single" w:sz="4" w:space="0" w:color="auto"/>
              <w:right w:val="single" w:sz="4" w:space="0" w:color="auto"/>
            </w:tcBorders>
            <w:vAlign w:val="center"/>
            <w:hideMark/>
          </w:tcPr>
          <w:p w14:paraId="4867C44F"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511,2</w:t>
            </w:r>
          </w:p>
        </w:tc>
        <w:tc>
          <w:tcPr>
            <w:tcW w:w="1100" w:type="dxa"/>
            <w:tcBorders>
              <w:top w:val="nil"/>
              <w:left w:val="nil"/>
              <w:bottom w:val="single" w:sz="4" w:space="0" w:color="auto"/>
              <w:right w:val="single" w:sz="4" w:space="0" w:color="auto"/>
            </w:tcBorders>
            <w:vAlign w:val="center"/>
            <w:hideMark/>
          </w:tcPr>
          <w:p w14:paraId="4FE2D73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4C66AAD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511,2</w:t>
            </w:r>
          </w:p>
        </w:tc>
        <w:tc>
          <w:tcPr>
            <w:tcW w:w="922" w:type="dxa"/>
            <w:tcBorders>
              <w:top w:val="nil"/>
              <w:left w:val="nil"/>
              <w:bottom w:val="single" w:sz="4" w:space="0" w:color="auto"/>
              <w:right w:val="single" w:sz="4" w:space="0" w:color="auto"/>
            </w:tcBorders>
            <w:vAlign w:val="center"/>
            <w:hideMark/>
          </w:tcPr>
          <w:p w14:paraId="19B43EB1" w14:textId="0458251D" w:rsidR="00CB1061" w:rsidRPr="000C6E07" w:rsidRDefault="001004AA"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511,2</w:t>
            </w:r>
            <w:r w:rsidR="00CB1061"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2D5BE34" w14:textId="59D51601"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3502</w:t>
            </w: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CEEA9A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AF05B6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1EFDE3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511,2</w:t>
            </w:r>
          </w:p>
        </w:tc>
        <w:tc>
          <w:tcPr>
            <w:tcW w:w="1000" w:type="dxa"/>
            <w:tcBorders>
              <w:top w:val="nil"/>
              <w:left w:val="nil"/>
              <w:bottom w:val="single" w:sz="4" w:space="0" w:color="auto"/>
              <w:right w:val="single" w:sz="4" w:space="0" w:color="auto"/>
            </w:tcBorders>
            <w:vAlign w:val="center"/>
            <w:hideMark/>
          </w:tcPr>
          <w:p w14:paraId="1A2D467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5F6072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A7CF93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vMerge/>
            <w:tcBorders>
              <w:top w:val="nil"/>
              <w:left w:val="single" w:sz="4" w:space="0" w:color="auto"/>
              <w:bottom w:val="single" w:sz="4" w:space="0" w:color="000000"/>
              <w:right w:val="single" w:sz="4" w:space="0" w:color="auto"/>
            </w:tcBorders>
            <w:vAlign w:val="center"/>
            <w:hideMark/>
          </w:tcPr>
          <w:p w14:paraId="0770DC71"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3EDC2EE9" w14:textId="77777777" w:rsidTr="004356CF">
        <w:trPr>
          <w:trHeight w:val="290"/>
        </w:trPr>
        <w:tc>
          <w:tcPr>
            <w:tcW w:w="568" w:type="dxa"/>
            <w:vMerge w:val="restart"/>
            <w:tcBorders>
              <w:top w:val="nil"/>
              <w:left w:val="single" w:sz="4" w:space="0" w:color="auto"/>
              <w:bottom w:val="single" w:sz="4" w:space="0" w:color="auto"/>
              <w:right w:val="single" w:sz="4" w:space="0" w:color="auto"/>
            </w:tcBorders>
            <w:hideMark/>
          </w:tcPr>
          <w:p w14:paraId="2A277523" w14:textId="314B6BB4"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00B13AD7" w14:textId="5233CE29" w:rsidR="00CB1061" w:rsidRPr="00A5450C" w:rsidRDefault="00CB1061" w:rsidP="00CB1061">
            <w:pPr>
              <w:spacing w:after="0"/>
              <w:rPr>
                <w:rFonts w:eastAsia="Times New Roman" w:cs="Times New Roman"/>
                <w:color w:val="000000"/>
                <w:sz w:val="20"/>
                <w:szCs w:val="20"/>
                <w:lang w:val="ro-RO"/>
                <w14:ligatures w14:val="none"/>
              </w:rPr>
            </w:pPr>
            <w:r w:rsidRPr="00A5450C">
              <w:rPr>
                <w:rFonts w:eastAsia="Times New Roman" w:cs="Times New Roman"/>
                <w:color w:val="000000"/>
                <w:sz w:val="20"/>
                <w:szCs w:val="20"/>
                <w:lang w:val="ro-RO"/>
                <w14:ligatures w14:val="none"/>
              </w:rPr>
              <w:t>Implementarea  conceptului de tactici de bază în activitatea polițienească</w:t>
            </w:r>
          </w:p>
          <w:p w14:paraId="2A2AF93D" w14:textId="77777777" w:rsidR="00CB1061" w:rsidRPr="00A5450C" w:rsidRDefault="00CB1061" w:rsidP="00CB1061">
            <w:pPr>
              <w:spacing w:after="0"/>
              <w:rPr>
                <w:rFonts w:eastAsia="Times New Roman" w:cs="Times New Roman"/>
                <w:color w:val="000000"/>
                <w:sz w:val="20"/>
                <w:szCs w:val="20"/>
                <w:highlight w:val="yellow"/>
                <w:lang w:val="ro-RO"/>
                <w14:ligatures w14:val="none"/>
              </w:rPr>
            </w:pPr>
            <w:r w:rsidRPr="00A5450C">
              <w:rPr>
                <w:rFonts w:eastAsia="Times New Roman" w:cs="Times New Roman"/>
                <w:color w:val="000000"/>
                <w:sz w:val="20"/>
                <w:szCs w:val="20"/>
                <w:highlight w:val="yellow"/>
                <w:lang w:val="ro-RO"/>
                <w14:ligatures w14:val="none"/>
              </w:rPr>
              <w:t xml:space="preserve"> </w:t>
            </w:r>
          </w:p>
          <w:p w14:paraId="46C58E64" w14:textId="73D97072" w:rsidR="00CB1061" w:rsidRPr="00A5450C" w:rsidRDefault="00CB1061" w:rsidP="00CB1061">
            <w:pPr>
              <w:spacing w:after="0"/>
              <w:rPr>
                <w:rFonts w:eastAsia="Times New Roman" w:cs="Times New Roman"/>
                <w:color w:val="000000"/>
                <w:sz w:val="20"/>
                <w:szCs w:val="20"/>
                <w:highlight w:val="yellow"/>
                <w:lang w:val="ro-RO"/>
                <w14:ligatures w14:val="none"/>
              </w:rPr>
            </w:pPr>
          </w:p>
        </w:tc>
        <w:tc>
          <w:tcPr>
            <w:tcW w:w="1843" w:type="dxa"/>
            <w:tcBorders>
              <w:top w:val="nil"/>
              <w:left w:val="nil"/>
              <w:bottom w:val="single" w:sz="4" w:space="0" w:color="auto"/>
              <w:right w:val="single" w:sz="4" w:space="0" w:color="auto"/>
            </w:tcBorders>
            <w:vAlign w:val="center"/>
            <w:hideMark/>
          </w:tcPr>
          <w:p w14:paraId="32C33C0F"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 aprobat;</w:t>
            </w:r>
          </w:p>
          <w:p w14:paraId="23F46188" w14:textId="590BBFA0"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714E51A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single" w:sz="4" w:space="0" w:color="auto"/>
              <w:right w:val="single" w:sz="4" w:space="0" w:color="auto"/>
            </w:tcBorders>
            <w:vAlign w:val="center"/>
            <w:hideMark/>
          </w:tcPr>
          <w:p w14:paraId="649F7D2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vMerge w:val="restart"/>
            <w:tcBorders>
              <w:top w:val="nil"/>
              <w:left w:val="single" w:sz="4" w:space="0" w:color="auto"/>
              <w:bottom w:val="single" w:sz="4" w:space="0" w:color="auto"/>
              <w:right w:val="single" w:sz="4" w:space="0" w:color="auto"/>
            </w:tcBorders>
            <w:vAlign w:val="center"/>
            <w:hideMark/>
          </w:tcPr>
          <w:p w14:paraId="559173B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4811544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auto"/>
              <w:right w:val="single" w:sz="4" w:space="0" w:color="auto"/>
            </w:tcBorders>
            <w:vAlign w:val="center"/>
            <w:hideMark/>
          </w:tcPr>
          <w:p w14:paraId="5BDAF9F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3502</w:t>
            </w:r>
          </w:p>
        </w:tc>
        <w:tc>
          <w:tcPr>
            <w:tcW w:w="1000" w:type="dxa"/>
            <w:vMerge w:val="restart"/>
            <w:tcBorders>
              <w:top w:val="nil"/>
              <w:left w:val="single" w:sz="4" w:space="0" w:color="auto"/>
              <w:bottom w:val="single" w:sz="4" w:space="0" w:color="auto"/>
              <w:right w:val="single" w:sz="4" w:space="0" w:color="auto"/>
            </w:tcBorders>
            <w:vAlign w:val="center"/>
            <w:hideMark/>
          </w:tcPr>
          <w:p w14:paraId="7AB542B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16CD3E3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AD8DF2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vMerge w:val="restart"/>
            <w:tcBorders>
              <w:top w:val="nil"/>
              <w:left w:val="single" w:sz="4" w:space="0" w:color="auto"/>
              <w:bottom w:val="single" w:sz="4" w:space="0" w:color="auto"/>
              <w:right w:val="single" w:sz="4" w:space="0" w:color="auto"/>
            </w:tcBorders>
            <w:vAlign w:val="center"/>
            <w:hideMark/>
          </w:tcPr>
          <w:p w14:paraId="4CF5E23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0FF3316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7FBB918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vMerge w:val="restart"/>
            <w:tcBorders>
              <w:top w:val="nil"/>
              <w:left w:val="single" w:sz="4" w:space="0" w:color="auto"/>
              <w:bottom w:val="single" w:sz="4" w:space="0" w:color="000000"/>
              <w:right w:val="single" w:sz="4" w:space="0" w:color="auto"/>
            </w:tcBorders>
            <w:vAlign w:val="center"/>
            <w:hideMark/>
          </w:tcPr>
          <w:p w14:paraId="59CA3EE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28332D3A"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20007850"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D145C7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4F241DE0" w14:textId="6E314964"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G</w:t>
            </w:r>
            <w:r w:rsidRPr="000C6E07">
              <w:rPr>
                <w:rFonts w:eastAsia="Times New Roman" w:cs="Times New Roman"/>
                <w:color w:val="000000"/>
                <w:sz w:val="20"/>
                <w:szCs w:val="20"/>
                <w:lang w:val="ro-RO"/>
                <w14:ligatures w14:val="none"/>
              </w:rPr>
              <w:t>hid de aplicare în format atractiv elaborat</w:t>
            </w:r>
          </w:p>
          <w:p w14:paraId="212C4568" w14:textId="5D819453"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3A6F6A2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5F47CC3B"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vMerge/>
            <w:tcBorders>
              <w:top w:val="nil"/>
              <w:left w:val="single" w:sz="4" w:space="0" w:color="auto"/>
              <w:bottom w:val="single" w:sz="4" w:space="0" w:color="auto"/>
              <w:right w:val="single" w:sz="4" w:space="0" w:color="auto"/>
            </w:tcBorders>
            <w:vAlign w:val="center"/>
            <w:hideMark/>
          </w:tcPr>
          <w:p w14:paraId="6072D583"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3075F9E1"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auto"/>
              <w:right w:val="single" w:sz="4" w:space="0" w:color="auto"/>
            </w:tcBorders>
            <w:vAlign w:val="center"/>
            <w:hideMark/>
          </w:tcPr>
          <w:p w14:paraId="38FFE6CF"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C46644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381997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tcBorders>
              <w:top w:val="nil"/>
              <w:left w:val="nil"/>
              <w:bottom w:val="single" w:sz="4" w:space="0" w:color="auto"/>
              <w:right w:val="single" w:sz="4" w:space="0" w:color="auto"/>
            </w:tcBorders>
            <w:vAlign w:val="center"/>
            <w:hideMark/>
          </w:tcPr>
          <w:p w14:paraId="5DE8268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vMerge/>
            <w:tcBorders>
              <w:top w:val="nil"/>
              <w:left w:val="single" w:sz="4" w:space="0" w:color="auto"/>
              <w:bottom w:val="single" w:sz="4" w:space="0" w:color="auto"/>
              <w:right w:val="single" w:sz="4" w:space="0" w:color="auto"/>
            </w:tcBorders>
            <w:vAlign w:val="center"/>
            <w:hideMark/>
          </w:tcPr>
          <w:p w14:paraId="2E1A8513"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4A6FEBB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42B1AB36"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000000"/>
              <w:right w:val="single" w:sz="4" w:space="0" w:color="auto"/>
            </w:tcBorders>
            <w:vAlign w:val="center"/>
            <w:hideMark/>
          </w:tcPr>
          <w:p w14:paraId="3501FC27"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10713750" w14:textId="77777777" w:rsidTr="004356CF">
        <w:trPr>
          <w:trHeight w:val="520"/>
        </w:trPr>
        <w:tc>
          <w:tcPr>
            <w:tcW w:w="568" w:type="dxa"/>
            <w:vMerge/>
            <w:tcBorders>
              <w:top w:val="nil"/>
              <w:left w:val="single" w:sz="4" w:space="0" w:color="auto"/>
              <w:bottom w:val="single" w:sz="4" w:space="0" w:color="auto"/>
              <w:right w:val="single" w:sz="4" w:space="0" w:color="auto"/>
            </w:tcBorders>
            <w:hideMark/>
          </w:tcPr>
          <w:p w14:paraId="4E5AC15E"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AB90EF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DF44613" w14:textId="26C3719D"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Minimum 3000 de angajați instruiți anual</w:t>
            </w:r>
          </w:p>
          <w:p w14:paraId="32EA6CFA" w14:textId="77777777" w:rsidR="00CB1061" w:rsidRDefault="00CB1061" w:rsidP="00CB1061">
            <w:pPr>
              <w:spacing w:after="0"/>
              <w:jc w:val="center"/>
              <w:rPr>
                <w:rFonts w:eastAsia="Times New Roman" w:cs="Times New Roman"/>
                <w:color w:val="000000"/>
                <w:sz w:val="20"/>
                <w:szCs w:val="20"/>
                <w:lang w:val="ro-RO"/>
                <w14:ligatures w14:val="none"/>
              </w:rPr>
            </w:pPr>
          </w:p>
          <w:p w14:paraId="787ED437" w14:textId="2378D79C"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34A049A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8.400,0</w:t>
            </w:r>
          </w:p>
        </w:tc>
        <w:tc>
          <w:tcPr>
            <w:tcW w:w="1100" w:type="dxa"/>
            <w:tcBorders>
              <w:top w:val="nil"/>
              <w:left w:val="nil"/>
              <w:bottom w:val="single" w:sz="4" w:space="0" w:color="auto"/>
              <w:right w:val="single" w:sz="4" w:space="0" w:color="auto"/>
            </w:tcBorders>
            <w:vAlign w:val="center"/>
            <w:hideMark/>
          </w:tcPr>
          <w:p w14:paraId="043749E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81A73B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8.400,0</w:t>
            </w:r>
          </w:p>
        </w:tc>
        <w:tc>
          <w:tcPr>
            <w:tcW w:w="922" w:type="dxa"/>
            <w:tcBorders>
              <w:top w:val="nil"/>
              <w:left w:val="nil"/>
              <w:bottom w:val="single" w:sz="4" w:space="0" w:color="auto"/>
              <w:right w:val="single" w:sz="4" w:space="0" w:color="auto"/>
            </w:tcBorders>
            <w:vAlign w:val="center"/>
            <w:hideMark/>
          </w:tcPr>
          <w:p w14:paraId="09D5FCB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714BB12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Regatul Suediei</w:t>
            </w:r>
          </w:p>
        </w:tc>
        <w:tc>
          <w:tcPr>
            <w:tcW w:w="1000" w:type="dxa"/>
            <w:tcBorders>
              <w:top w:val="nil"/>
              <w:left w:val="nil"/>
              <w:bottom w:val="single" w:sz="4" w:space="0" w:color="auto"/>
              <w:right w:val="single" w:sz="4" w:space="0" w:color="auto"/>
            </w:tcBorders>
            <w:vAlign w:val="center"/>
            <w:hideMark/>
          </w:tcPr>
          <w:p w14:paraId="7FD8B88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82C014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3948A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FA5C67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4.200,0</w:t>
            </w:r>
          </w:p>
        </w:tc>
        <w:tc>
          <w:tcPr>
            <w:tcW w:w="1000" w:type="dxa"/>
            <w:tcBorders>
              <w:top w:val="nil"/>
              <w:left w:val="nil"/>
              <w:bottom w:val="single" w:sz="4" w:space="0" w:color="auto"/>
              <w:right w:val="single" w:sz="4" w:space="0" w:color="auto"/>
            </w:tcBorders>
            <w:vAlign w:val="center"/>
            <w:hideMark/>
          </w:tcPr>
          <w:p w14:paraId="05BB0D1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4.200,0</w:t>
            </w:r>
          </w:p>
        </w:tc>
        <w:tc>
          <w:tcPr>
            <w:tcW w:w="1082" w:type="dxa"/>
            <w:tcBorders>
              <w:top w:val="nil"/>
              <w:left w:val="nil"/>
              <w:bottom w:val="single" w:sz="4" w:space="0" w:color="auto"/>
              <w:right w:val="single" w:sz="4" w:space="0" w:color="auto"/>
            </w:tcBorders>
            <w:vAlign w:val="center"/>
            <w:hideMark/>
          </w:tcPr>
          <w:p w14:paraId="73F0C5C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76E02826"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142BDF20" w14:textId="77777777" w:rsidTr="009C1B0F">
        <w:trPr>
          <w:trHeight w:val="102"/>
        </w:trPr>
        <w:tc>
          <w:tcPr>
            <w:tcW w:w="16317" w:type="dxa"/>
            <w:gridSpan w:val="15"/>
            <w:tcBorders>
              <w:top w:val="nil"/>
              <w:left w:val="single" w:sz="4" w:space="0" w:color="auto"/>
              <w:bottom w:val="single" w:sz="4" w:space="0" w:color="auto"/>
              <w:right w:val="single" w:sz="4" w:space="0" w:color="auto"/>
            </w:tcBorders>
            <w:shd w:val="clear" w:color="auto" w:fill="E2EFD9" w:themeFill="accent6" w:themeFillTint="33"/>
          </w:tcPr>
          <w:p w14:paraId="77A8720A" w14:textId="6216DA0A" w:rsidR="00CB1061" w:rsidRPr="000C6E07" w:rsidRDefault="00CB1061" w:rsidP="00CB1061">
            <w:pPr>
              <w:spacing w:after="0"/>
              <w:jc w:val="center"/>
              <w:rPr>
                <w:rFonts w:eastAsia="Times New Roman" w:cs="Times New Roman"/>
                <w:color w:val="000000"/>
                <w:sz w:val="20"/>
                <w:szCs w:val="20"/>
                <w:lang w:val="ro-RO"/>
                <w14:ligatures w14:val="none"/>
              </w:rPr>
            </w:pPr>
            <w:r w:rsidRPr="00463FA0">
              <w:rPr>
                <w:b/>
                <w:sz w:val="20"/>
                <w:szCs w:val="20"/>
                <w:lang w:val="ro-RO"/>
              </w:rPr>
              <w:t xml:space="preserve">Obiectivul </w:t>
            </w:r>
            <w:r>
              <w:rPr>
                <w:b/>
                <w:sz w:val="20"/>
                <w:szCs w:val="20"/>
                <w:lang w:val="ro-RO"/>
              </w:rPr>
              <w:t>specific 2</w:t>
            </w:r>
            <w:r w:rsidRPr="00463FA0">
              <w:rPr>
                <w:b/>
                <w:sz w:val="20"/>
                <w:szCs w:val="20"/>
                <w:lang w:val="ro-RO"/>
              </w:rPr>
              <w:t>.</w:t>
            </w:r>
            <w:r>
              <w:rPr>
                <w:b/>
                <w:sz w:val="20"/>
                <w:szCs w:val="20"/>
                <w:lang w:val="ro-RO"/>
              </w:rPr>
              <w:t xml:space="preserve">2 </w:t>
            </w:r>
            <w:r w:rsidRPr="00463FA0">
              <w:rPr>
                <w:b/>
                <w:bCs/>
                <w:color w:val="000000"/>
                <w:sz w:val="20"/>
                <w:szCs w:val="20"/>
                <w:lang w:val="ro-RO" w:eastAsia="ru-RU"/>
              </w:rPr>
              <w:t>Capabilități integrate ale forțelor de ordine de intervenție la evenimente publice, dezvoltate cu respectarea drepturilor omului,</w:t>
            </w:r>
            <w:r w:rsidRPr="00463FA0">
              <w:rPr>
                <w:rFonts w:eastAsia="Calibri"/>
                <w:b/>
                <w:bCs/>
                <w:color w:val="000000"/>
                <w:sz w:val="20"/>
                <w:szCs w:val="20"/>
                <w:lang w:val="ro-RO" w:eastAsia="ru-RU"/>
              </w:rPr>
              <w:t xml:space="preserve"> până în anul 2030</w:t>
            </w:r>
          </w:p>
        </w:tc>
      </w:tr>
      <w:tr w:rsidR="00CB1061" w:rsidRPr="000C6E07" w14:paraId="033F17CD" w14:textId="77777777" w:rsidTr="004356CF">
        <w:trPr>
          <w:trHeight w:val="1300"/>
        </w:trPr>
        <w:tc>
          <w:tcPr>
            <w:tcW w:w="568" w:type="dxa"/>
            <w:vMerge w:val="restart"/>
            <w:tcBorders>
              <w:top w:val="nil"/>
              <w:left w:val="single" w:sz="4" w:space="0" w:color="auto"/>
              <w:bottom w:val="single" w:sz="4" w:space="0" w:color="auto"/>
              <w:right w:val="single" w:sz="4" w:space="0" w:color="auto"/>
            </w:tcBorders>
            <w:hideMark/>
          </w:tcPr>
          <w:p w14:paraId="6263B521" w14:textId="41CB2FC6"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26288E41"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Delimitarea la nivel operațional a procedurilor de intervenție la evenimente publice și întrunirile publice</w:t>
            </w:r>
          </w:p>
        </w:tc>
        <w:tc>
          <w:tcPr>
            <w:tcW w:w="1843" w:type="dxa"/>
            <w:tcBorders>
              <w:top w:val="nil"/>
              <w:left w:val="nil"/>
              <w:bottom w:val="single" w:sz="4" w:space="0" w:color="auto"/>
              <w:right w:val="single" w:sz="4" w:space="0" w:color="auto"/>
            </w:tcBorders>
            <w:vAlign w:val="center"/>
            <w:hideMark/>
          </w:tcPr>
          <w:p w14:paraId="7CE6103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PSO privind gestionarea întrunirilor publice și evenimentelor publice clar delimitate</w:t>
            </w:r>
          </w:p>
        </w:tc>
        <w:tc>
          <w:tcPr>
            <w:tcW w:w="1026" w:type="dxa"/>
            <w:tcBorders>
              <w:top w:val="nil"/>
              <w:left w:val="nil"/>
              <w:bottom w:val="single" w:sz="4" w:space="0" w:color="auto"/>
              <w:right w:val="single" w:sz="4" w:space="0" w:color="auto"/>
            </w:tcBorders>
            <w:vAlign w:val="center"/>
            <w:hideMark/>
          </w:tcPr>
          <w:p w14:paraId="21097F4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04638F9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7A888FC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400FC7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214597F6" w14:textId="77777777" w:rsidR="00CB1061"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3505</w:t>
            </w:r>
          </w:p>
          <w:p w14:paraId="14E34BF6" w14:textId="01B5833F" w:rsidR="00CB1061" w:rsidRPr="000C6E07" w:rsidRDefault="00CB1061" w:rsidP="00CB1061">
            <w:pPr>
              <w:spacing w:after="0"/>
              <w:jc w:val="center"/>
              <w:rPr>
                <w:rFonts w:eastAsia="Times New Roman" w:cs="Times New Roman"/>
                <w:color w:val="000000"/>
                <w:sz w:val="20"/>
                <w:szCs w:val="20"/>
                <w:lang w:val="ro-RO"/>
                <w14:ligatures w14:val="none"/>
              </w:rPr>
            </w:pPr>
            <w:r>
              <w:rPr>
                <w:rFonts w:eastAsia="Times New Roman" w:cs="Times New Roman"/>
                <w:color w:val="000000"/>
                <w:sz w:val="20"/>
                <w:szCs w:val="20"/>
                <w:lang w:val="ro-RO"/>
                <w14:ligatures w14:val="none"/>
              </w:rPr>
              <w:t>40</w:t>
            </w:r>
          </w:p>
        </w:tc>
        <w:tc>
          <w:tcPr>
            <w:tcW w:w="1000" w:type="dxa"/>
            <w:tcBorders>
              <w:top w:val="nil"/>
              <w:left w:val="nil"/>
              <w:bottom w:val="single" w:sz="4" w:space="0" w:color="auto"/>
              <w:right w:val="single" w:sz="4" w:space="0" w:color="auto"/>
            </w:tcBorders>
            <w:vAlign w:val="center"/>
            <w:hideMark/>
          </w:tcPr>
          <w:p w14:paraId="6EE5DC3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033DADC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041758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A459C2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B8436E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A3AC7E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5C13EB8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Ministerul Justiției</w:t>
            </w:r>
          </w:p>
        </w:tc>
      </w:tr>
      <w:tr w:rsidR="00CB1061" w:rsidRPr="000C6E07" w14:paraId="054C997B" w14:textId="77777777" w:rsidTr="002415BE">
        <w:trPr>
          <w:trHeight w:val="714"/>
        </w:trPr>
        <w:tc>
          <w:tcPr>
            <w:tcW w:w="568" w:type="dxa"/>
            <w:vMerge/>
            <w:tcBorders>
              <w:top w:val="nil"/>
              <w:left w:val="single" w:sz="4" w:space="0" w:color="auto"/>
              <w:bottom w:val="single" w:sz="4" w:space="0" w:color="auto"/>
              <w:right w:val="single" w:sz="4" w:space="0" w:color="auto"/>
            </w:tcBorders>
            <w:hideMark/>
          </w:tcPr>
          <w:p w14:paraId="2680B5B7"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32C807B3"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62B2C3C1" w14:textId="49761402" w:rsidR="00CB1061" w:rsidRPr="00E83533" w:rsidRDefault="00CB1061" w:rsidP="00CB1061">
            <w:pPr>
              <w:spacing w:after="0"/>
              <w:jc w:val="center"/>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xml:space="preserve">Instrucțiunea de utilizare a sistemelor de aeronave fără pilot la bord (UAV) în cadrul </w:t>
            </w:r>
            <w:r w:rsidRPr="00E86770">
              <w:rPr>
                <w:rFonts w:eastAsia="Times New Roman" w:cs="Times New Roman"/>
                <w:color w:val="000000"/>
                <w:sz w:val="20"/>
                <w:szCs w:val="20"/>
                <w:lang w:val="ro-RO"/>
                <w14:ligatures w14:val="none"/>
              </w:rPr>
              <w:lastRenderedPageBreak/>
              <w:t>evenimentelor publice și întrunirile publice aprobată.</w:t>
            </w:r>
            <w:r w:rsidRPr="00E83533">
              <w:rPr>
                <w:rFonts w:eastAsia="Times New Roman" w:cs="Times New Roman"/>
                <w:color w:val="000000"/>
                <w:sz w:val="20"/>
                <w:szCs w:val="20"/>
                <w:lang w:val="ro-RO"/>
                <w14:ligatures w14:val="none"/>
              </w:rPr>
              <w:t xml:space="preserve"> </w:t>
            </w:r>
          </w:p>
          <w:p w14:paraId="3BE81F10" w14:textId="77777777" w:rsidR="00CB1061" w:rsidRDefault="00CB1061" w:rsidP="00CB1061">
            <w:pPr>
              <w:spacing w:after="0"/>
              <w:jc w:val="center"/>
              <w:rPr>
                <w:rFonts w:eastAsia="Times New Roman" w:cs="Times New Roman"/>
                <w:color w:val="000000"/>
                <w:sz w:val="20"/>
                <w:szCs w:val="20"/>
                <w:lang w:val="ro-RO"/>
                <w14:ligatures w14:val="none"/>
              </w:rPr>
            </w:pPr>
          </w:p>
          <w:p w14:paraId="3EDC1CD1" w14:textId="77777777" w:rsidR="00CB1061" w:rsidRPr="000C6E07" w:rsidRDefault="00CB1061" w:rsidP="00CB1061">
            <w:pPr>
              <w:spacing w:after="0"/>
              <w:jc w:val="center"/>
              <w:rPr>
                <w:rFonts w:eastAsia="Times New Roman" w:cs="Times New Roman"/>
                <w:color w:val="000000"/>
                <w:sz w:val="20"/>
                <w:szCs w:val="20"/>
                <w:lang w:val="ro-RO"/>
                <w14:ligatures w14:val="none"/>
              </w:rPr>
            </w:pPr>
          </w:p>
        </w:tc>
        <w:tc>
          <w:tcPr>
            <w:tcW w:w="1026" w:type="dxa"/>
            <w:tcBorders>
              <w:top w:val="nil"/>
              <w:left w:val="nil"/>
              <w:bottom w:val="single" w:sz="4" w:space="0" w:color="auto"/>
              <w:right w:val="single" w:sz="4" w:space="0" w:color="auto"/>
            </w:tcBorders>
            <w:vAlign w:val="center"/>
            <w:hideMark/>
          </w:tcPr>
          <w:p w14:paraId="1D4A600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lastRenderedPageBreak/>
              <w:t>117,3</w:t>
            </w:r>
          </w:p>
        </w:tc>
        <w:tc>
          <w:tcPr>
            <w:tcW w:w="1100" w:type="dxa"/>
            <w:tcBorders>
              <w:top w:val="nil"/>
              <w:left w:val="nil"/>
              <w:bottom w:val="single" w:sz="4" w:space="0" w:color="auto"/>
              <w:right w:val="single" w:sz="4" w:space="0" w:color="auto"/>
            </w:tcBorders>
            <w:vAlign w:val="center"/>
            <w:hideMark/>
          </w:tcPr>
          <w:p w14:paraId="4951FDA6"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single" w:sz="4" w:space="0" w:color="auto"/>
              <w:right w:val="single" w:sz="4" w:space="0" w:color="auto"/>
            </w:tcBorders>
            <w:vAlign w:val="center"/>
            <w:hideMark/>
          </w:tcPr>
          <w:p w14:paraId="697CA9B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6E8888B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06F25C4F" w14:textId="32461B61"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ACBE53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B264B4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single" w:sz="4" w:space="0" w:color="auto"/>
              <w:right w:val="single" w:sz="4" w:space="0" w:color="auto"/>
            </w:tcBorders>
            <w:vAlign w:val="center"/>
            <w:hideMark/>
          </w:tcPr>
          <w:p w14:paraId="272193E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E3464A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B06430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A46D7C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1AD1FFB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74D26E2E"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66A8B06A" w14:textId="5D22537C"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7084BD34"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Operaționalizarea punctului de contact pentru evenimentele sportive</w:t>
            </w:r>
          </w:p>
        </w:tc>
        <w:tc>
          <w:tcPr>
            <w:tcW w:w="1843" w:type="dxa"/>
            <w:tcBorders>
              <w:top w:val="nil"/>
              <w:left w:val="nil"/>
              <w:bottom w:val="single" w:sz="4" w:space="0" w:color="auto"/>
              <w:right w:val="single" w:sz="4" w:space="0" w:color="auto"/>
            </w:tcBorders>
            <w:vAlign w:val="center"/>
            <w:hideMark/>
          </w:tcPr>
          <w:p w14:paraId="2F5B66E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Punct național de contact pentru evenimentele sportive creat</w:t>
            </w:r>
          </w:p>
        </w:tc>
        <w:tc>
          <w:tcPr>
            <w:tcW w:w="1026" w:type="dxa"/>
            <w:tcBorders>
              <w:top w:val="nil"/>
              <w:left w:val="nil"/>
              <w:bottom w:val="single" w:sz="4" w:space="0" w:color="auto"/>
              <w:right w:val="single" w:sz="4" w:space="0" w:color="auto"/>
            </w:tcBorders>
            <w:vAlign w:val="center"/>
            <w:hideMark/>
          </w:tcPr>
          <w:p w14:paraId="6087A53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100" w:type="dxa"/>
            <w:tcBorders>
              <w:top w:val="nil"/>
              <w:left w:val="nil"/>
              <w:bottom w:val="single" w:sz="4" w:space="0" w:color="auto"/>
              <w:right w:val="single" w:sz="4" w:space="0" w:color="auto"/>
            </w:tcBorders>
            <w:vAlign w:val="center"/>
            <w:hideMark/>
          </w:tcPr>
          <w:p w14:paraId="4EDA7ED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15" w:type="dxa"/>
            <w:tcBorders>
              <w:top w:val="nil"/>
              <w:left w:val="nil"/>
              <w:bottom w:val="single" w:sz="4" w:space="0" w:color="auto"/>
              <w:right w:val="single" w:sz="4" w:space="0" w:color="auto"/>
            </w:tcBorders>
            <w:vAlign w:val="center"/>
            <w:hideMark/>
          </w:tcPr>
          <w:p w14:paraId="2F40864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96BFD8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1EEAE710" w14:textId="08C56C18"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34AF065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200,0</w:t>
            </w:r>
          </w:p>
        </w:tc>
        <w:tc>
          <w:tcPr>
            <w:tcW w:w="1000" w:type="dxa"/>
            <w:tcBorders>
              <w:top w:val="nil"/>
              <w:left w:val="nil"/>
              <w:bottom w:val="single" w:sz="4" w:space="0" w:color="auto"/>
              <w:right w:val="single" w:sz="4" w:space="0" w:color="auto"/>
            </w:tcBorders>
            <w:vAlign w:val="center"/>
            <w:hideMark/>
          </w:tcPr>
          <w:p w14:paraId="3991F91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00CB80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2FC968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F274C1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019E542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320E976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2BAFE4EB"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47D9CF69"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9F6D892"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DDF225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Regulament pentru punctul național de contact pentru evenimentele sportive aprobat.</w:t>
            </w:r>
          </w:p>
        </w:tc>
        <w:tc>
          <w:tcPr>
            <w:tcW w:w="1026" w:type="dxa"/>
            <w:tcBorders>
              <w:top w:val="nil"/>
              <w:left w:val="nil"/>
              <w:bottom w:val="single" w:sz="4" w:space="0" w:color="auto"/>
              <w:right w:val="single" w:sz="4" w:space="0" w:color="auto"/>
            </w:tcBorders>
            <w:vAlign w:val="center"/>
            <w:hideMark/>
          </w:tcPr>
          <w:p w14:paraId="54346FF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AB932B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nil"/>
              <w:left w:val="nil"/>
              <w:bottom w:val="single" w:sz="4" w:space="0" w:color="auto"/>
              <w:right w:val="single" w:sz="4" w:space="0" w:color="auto"/>
            </w:tcBorders>
            <w:vAlign w:val="center"/>
            <w:hideMark/>
          </w:tcPr>
          <w:p w14:paraId="2DDAC52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3CCB72E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640468DA" w14:textId="7A2466CE"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183757F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nil"/>
              <w:left w:val="nil"/>
              <w:bottom w:val="single" w:sz="4" w:space="0" w:color="auto"/>
              <w:right w:val="single" w:sz="4" w:space="0" w:color="auto"/>
            </w:tcBorders>
            <w:vAlign w:val="center"/>
            <w:hideMark/>
          </w:tcPr>
          <w:p w14:paraId="1E36D11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37FF11F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4F61826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AD3A5E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4910AA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tcBorders>
              <w:top w:val="nil"/>
              <w:left w:val="nil"/>
              <w:bottom w:val="single" w:sz="4" w:space="0" w:color="auto"/>
              <w:right w:val="single" w:sz="4" w:space="0" w:color="auto"/>
            </w:tcBorders>
            <w:vAlign w:val="center"/>
            <w:hideMark/>
          </w:tcPr>
          <w:p w14:paraId="5B5374A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50BEA1C6" w14:textId="77777777" w:rsidTr="004356CF">
        <w:trPr>
          <w:trHeight w:val="780"/>
        </w:trPr>
        <w:tc>
          <w:tcPr>
            <w:tcW w:w="568" w:type="dxa"/>
            <w:vMerge w:val="restart"/>
            <w:tcBorders>
              <w:top w:val="nil"/>
              <w:left w:val="single" w:sz="4" w:space="0" w:color="auto"/>
              <w:bottom w:val="single" w:sz="4" w:space="0" w:color="auto"/>
              <w:right w:val="single" w:sz="4" w:space="0" w:color="auto"/>
            </w:tcBorders>
            <w:hideMark/>
          </w:tcPr>
          <w:p w14:paraId="15EDDD92" w14:textId="6CDFC0F1"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4654E9CE" w14:textId="77777777" w:rsidR="00CB1061"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Elaborarea conceptului de intervenție integrată a forțelor la evenimente publice, cu descrierea rolului decizional al Inspectoratului de Management Operațional al Ministerului Afacerilor Interne</w:t>
            </w:r>
          </w:p>
          <w:p w14:paraId="7EA8FA16" w14:textId="77777777" w:rsidR="00CB1061" w:rsidRPr="00B9278A" w:rsidRDefault="00CB1061" w:rsidP="00CB1061">
            <w:pPr>
              <w:spacing w:after="0"/>
              <w:rPr>
                <w:rFonts w:eastAsia="Times New Roman" w:cs="Times New Roman"/>
                <w:color w:val="000000"/>
                <w:sz w:val="20"/>
                <w:szCs w:val="20"/>
                <w:lang w:val="ro-RO"/>
                <w14:ligatures w14:val="none"/>
              </w:rPr>
            </w:pPr>
          </w:p>
          <w:p w14:paraId="6159E77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112316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Concept aprobat prin ordin; flux informațional descris</w:t>
            </w:r>
          </w:p>
        </w:tc>
        <w:tc>
          <w:tcPr>
            <w:tcW w:w="1026" w:type="dxa"/>
            <w:tcBorders>
              <w:top w:val="nil"/>
              <w:left w:val="nil"/>
              <w:bottom w:val="single" w:sz="4" w:space="0" w:color="auto"/>
              <w:right w:val="single" w:sz="4" w:space="0" w:color="auto"/>
            </w:tcBorders>
            <w:vAlign w:val="center"/>
            <w:hideMark/>
          </w:tcPr>
          <w:p w14:paraId="41FEF0F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100" w:type="dxa"/>
            <w:tcBorders>
              <w:top w:val="nil"/>
              <w:left w:val="nil"/>
              <w:bottom w:val="single" w:sz="4" w:space="0" w:color="auto"/>
              <w:right w:val="single" w:sz="4" w:space="0" w:color="auto"/>
            </w:tcBorders>
            <w:vAlign w:val="center"/>
            <w:hideMark/>
          </w:tcPr>
          <w:p w14:paraId="6C6F5A25"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15" w:type="dxa"/>
            <w:tcBorders>
              <w:top w:val="nil"/>
              <w:left w:val="nil"/>
              <w:bottom w:val="nil"/>
              <w:right w:val="single" w:sz="4" w:space="0" w:color="auto"/>
            </w:tcBorders>
            <w:vAlign w:val="center"/>
            <w:hideMark/>
          </w:tcPr>
          <w:p w14:paraId="06E2278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nil"/>
              <w:right w:val="single" w:sz="4" w:space="0" w:color="auto"/>
            </w:tcBorders>
            <w:vAlign w:val="center"/>
            <w:hideMark/>
          </w:tcPr>
          <w:p w14:paraId="2D13BAC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nil"/>
              <w:right w:val="single" w:sz="4" w:space="0" w:color="auto"/>
            </w:tcBorders>
            <w:vAlign w:val="center"/>
            <w:hideMark/>
          </w:tcPr>
          <w:p w14:paraId="68F0BEAD" w14:textId="76131C0C"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76CFEC0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117,3</w:t>
            </w:r>
          </w:p>
        </w:tc>
        <w:tc>
          <w:tcPr>
            <w:tcW w:w="1000" w:type="dxa"/>
            <w:tcBorders>
              <w:top w:val="nil"/>
              <w:left w:val="nil"/>
              <w:bottom w:val="nil"/>
              <w:right w:val="single" w:sz="4" w:space="0" w:color="auto"/>
            </w:tcBorders>
            <w:vAlign w:val="center"/>
            <w:hideMark/>
          </w:tcPr>
          <w:p w14:paraId="219DD78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3F63195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57D0AFC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7BF4E29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nil"/>
              <w:right w:val="single" w:sz="4" w:space="0" w:color="auto"/>
            </w:tcBorders>
            <w:vAlign w:val="center"/>
            <w:hideMark/>
          </w:tcPr>
          <w:p w14:paraId="7CA6F2D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val="restart"/>
            <w:tcBorders>
              <w:top w:val="nil"/>
              <w:left w:val="single" w:sz="4" w:space="0" w:color="auto"/>
              <w:bottom w:val="single" w:sz="4" w:space="0" w:color="000000"/>
              <w:right w:val="single" w:sz="4" w:space="0" w:color="auto"/>
            </w:tcBorders>
            <w:vAlign w:val="center"/>
            <w:hideMark/>
          </w:tcPr>
          <w:p w14:paraId="2BBEC5F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 Asociația Femeilor din Poliție</w:t>
            </w:r>
          </w:p>
        </w:tc>
      </w:tr>
      <w:tr w:rsidR="00CB1061" w:rsidRPr="000C6E07" w14:paraId="7F571DA2" w14:textId="77777777" w:rsidTr="004356CF">
        <w:trPr>
          <w:trHeight w:val="2860"/>
        </w:trPr>
        <w:tc>
          <w:tcPr>
            <w:tcW w:w="568" w:type="dxa"/>
            <w:vMerge/>
            <w:tcBorders>
              <w:top w:val="nil"/>
              <w:left w:val="single" w:sz="4" w:space="0" w:color="auto"/>
              <w:bottom w:val="single" w:sz="4" w:space="0" w:color="auto"/>
              <w:right w:val="single" w:sz="4" w:space="0" w:color="auto"/>
            </w:tcBorders>
            <w:hideMark/>
          </w:tcPr>
          <w:p w14:paraId="3C51167A"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0DD80F3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34CCF3C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Metodologia de identificare a riscurilor (Ordinul MAI 396/2019) modificată privind criteriile de delimitare/clasificare a evenimentelor și întrunirilor publice pentru a asigura nefragmentarea procesului de gestionare a acestora aprobată</w:t>
            </w:r>
          </w:p>
        </w:tc>
        <w:tc>
          <w:tcPr>
            <w:tcW w:w="1026" w:type="dxa"/>
            <w:tcBorders>
              <w:top w:val="nil"/>
              <w:left w:val="nil"/>
              <w:bottom w:val="single" w:sz="4" w:space="0" w:color="auto"/>
              <w:right w:val="single" w:sz="4" w:space="0" w:color="auto"/>
            </w:tcBorders>
            <w:vAlign w:val="center"/>
            <w:hideMark/>
          </w:tcPr>
          <w:p w14:paraId="35B196C7"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100" w:type="dxa"/>
            <w:tcBorders>
              <w:top w:val="nil"/>
              <w:left w:val="nil"/>
              <w:bottom w:val="single" w:sz="4" w:space="0" w:color="auto"/>
              <w:right w:val="single" w:sz="4" w:space="0" w:color="auto"/>
            </w:tcBorders>
            <w:vAlign w:val="center"/>
            <w:hideMark/>
          </w:tcPr>
          <w:p w14:paraId="78F2169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15" w:type="dxa"/>
            <w:tcBorders>
              <w:top w:val="single" w:sz="4" w:space="0" w:color="auto"/>
              <w:left w:val="nil"/>
              <w:bottom w:val="single" w:sz="4" w:space="0" w:color="auto"/>
              <w:right w:val="single" w:sz="4" w:space="0" w:color="auto"/>
            </w:tcBorders>
            <w:vAlign w:val="center"/>
            <w:hideMark/>
          </w:tcPr>
          <w:p w14:paraId="7A58EDC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single" w:sz="4" w:space="0" w:color="auto"/>
              <w:left w:val="nil"/>
              <w:bottom w:val="single" w:sz="4" w:space="0" w:color="auto"/>
              <w:right w:val="single" w:sz="4" w:space="0" w:color="auto"/>
            </w:tcBorders>
            <w:vAlign w:val="center"/>
            <w:hideMark/>
          </w:tcPr>
          <w:p w14:paraId="40A6C62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590DB949" w14:textId="76F6F69A"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7E8A18E8"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189,1</w:t>
            </w:r>
          </w:p>
        </w:tc>
        <w:tc>
          <w:tcPr>
            <w:tcW w:w="1000" w:type="dxa"/>
            <w:tcBorders>
              <w:top w:val="single" w:sz="4" w:space="0" w:color="auto"/>
              <w:left w:val="nil"/>
              <w:bottom w:val="single" w:sz="4" w:space="0" w:color="auto"/>
              <w:right w:val="single" w:sz="4" w:space="0" w:color="auto"/>
            </w:tcBorders>
            <w:vAlign w:val="center"/>
            <w:hideMark/>
          </w:tcPr>
          <w:p w14:paraId="12EA71F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472404E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4BDCCD6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70C1178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single" w:sz="4" w:space="0" w:color="auto"/>
              <w:left w:val="nil"/>
              <w:bottom w:val="single" w:sz="4" w:space="0" w:color="auto"/>
              <w:right w:val="single" w:sz="4" w:space="0" w:color="auto"/>
            </w:tcBorders>
            <w:vAlign w:val="center"/>
            <w:hideMark/>
          </w:tcPr>
          <w:p w14:paraId="3AB05C7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2026</w:t>
            </w:r>
          </w:p>
        </w:tc>
        <w:tc>
          <w:tcPr>
            <w:tcW w:w="1162" w:type="dxa"/>
            <w:vMerge/>
            <w:tcBorders>
              <w:top w:val="nil"/>
              <w:left w:val="single" w:sz="4" w:space="0" w:color="auto"/>
              <w:bottom w:val="single" w:sz="4" w:space="0" w:color="000000"/>
              <w:right w:val="single" w:sz="4" w:space="0" w:color="auto"/>
            </w:tcBorders>
            <w:vAlign w:val="center"/>
            <w:hideMark/>
          </w:tcPr>
          <w:p w14:paraId="1AD88445"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6C29D1C4" w14:textId="77777777" w:rsidTr="004356CF">
        <w:trPr>
          <w:trHeight w:val="1040"/>
        </w:trPr>
        <w:tc>
          <w:tcPr>
            <w:tcW w:w="568" w:type="dxa"/>
            <w:vMerge/>
            <w:tcBorders>
              <w:top w:val="nil"/>
              <w:left w:val="single" w:sz="4" w:space="0" w:color="auto"/>
              <w:bottom w:val="single" w:sz="4" w:space="0" w:color="auto"/>
              <w:right w:val="single" w:sz="4" w:space="0" w:color="auto"/>
            </w:tcBorders>
            <w:hideMark/>
          </w:tcPr>
          <w:p w14:paraId="4C18D67F"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FE9AFB5"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7306B05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Reprezentarea pe sexe în structurile operaționale conform ponderii per instituție asigurată </w:t>
            </w:r>
          </w:p>
        </w:tc>
        <w:tc>
          <w:tcPr>
            <w:tcW w:w="1026" w:type="dxa"/>
            <w:tcBorders>
              <w:top w:val="nil"/>
              <w:left w:val="nil"/>
              <w:bottom w:val="single" w:sz="4" w:space="0" w:color="auto"/>
              <w:right w:val="single" w:sz="4" w:space="0" w:color="auto"/>
            </w:tcBorders>
            <w:vAlign w:val="center"/>
            <w:hideMark/>
          </w:tcPr>
          <w:p w14:paraId="62A7973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tcBorders>
              <w:top w:val="nil"/>
              <w:left w:val="nil"/>
              <w:bottom w:val="single" w:sz="4" w:space="0" w:color="auto"/>
              <w:right w:val="single" w:sz="4" w:space="0" w:color="auto"/>
            </w:tcBorders>
            <w:vAlign w:val="center"/>
            <w:hideMark/>
          </w:tcPr>
          <w:p w14:paraId="5260762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single" w:sz="4" w:space="0" w:color="auto"/>
              <w:right w:val="single" w:sz="4" w:space="0" w:color="auto"/>
            </w:tcBorders>
            <w:vAlign w:val="center"/>
            <w:hideMark/>
          </w:tcPr>
          <w:p w14:paraId="59A10B2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235F3B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AD2B84D" w14:textId="16DBBF68"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single" w:sz="4" w:space="0" w:color="auto"/>
              <w:right w:val="single" w:sz="4" w:space="0" w:color="auto"/>
            </w:tcBorders>
            <w:vAlign w:val="center"/>
            <w:hideMark/>
          </w:tcPr>
          <w:p w14:paraId="40F5242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778151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CE5DB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2BEEE69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710FAE9"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31767E2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tcBorders>
              <w:top w:val="nil"/>
              <w:left w:val="single" w:sz="4" w:space="0" w:color="auto"/>
              <w:bottom w:val="single" w:sz="4" w:space="0" w:color="000000"/>
              <w:right w:val="single" w:sz="4" w:space="0" w:color="auto"/>
            </w:tcBorders>
            <w:vAlign w:val="center"/>
            <w:hideMark/>
          </w:tcPr>
          <w:p w14:paraId="29D1AEC0" w14:textId="77777777" w:rsidR="00CB1061" w:rsidRPr="000C6E07" w:rsidRDefault="00CB1061" w:rsidP="00CB1061">
            <w:pPr>
              <w:spacing w:after="0"/>
              <w:rPr>
                <w:rFonts w:eastAsia="Times New Roman" w:cs="Times New Roman"/>
                <w:color w:val="000000"/>
                <w:sz w:val="20"/>
                <w:szCs w:val="20"/>
                <w:lang w:val="ro-RO"/>
                <w14:ligatures w14:val="none"/>
              </w:rPr>
            </w:pPr>
          </w:p>
        </w:tc>
      </w:tr>
      <w:tr w:rsidR="00CB1061" w:rsidRPr="000C6E07" w14:paraId="4B7BB714" w14:textId="77777777" w:rsidTr="004356CF">
        <w:trPr>
          <w:trHeight w:val="2860"/>
        </w:trPr>
        <w:tc>
          <w:tcPr>
            <w:tcW w:w="568" w:type="dxa"/>
            <w:tcBorders>
              <w:top w:val="nil"/>
              <w:left w:val="single" w:sz="4" w:space="0" w:color="auto"/>
              <w:bottom w:val="single" w:sz="4" w:space="0" w:color="auto"/>
              <w:right w:val="single" w:sz="4" w:space="0" w:color="auto"/>
            </w:tcBorders>
            <w:hideMark/>
          </w:tcPr>
          <w:p w14:paraId="1B613A20" w14:textId="47C146CA"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tcBorders>
              <w:top w:val="nil"/>
              <w:left w:val="nil"/>
              <w:bottom w:val="single" w:sz="4" w:space="0" w:color="auto"/>
              <w:right w:val="single" w:sz="4" w:space="0" w:color="auto"/>
            </w:tcBorders>
            <w:hideMark/>
          </w:tcPr>
          <w:p w14:paraId="7BFFA315"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Identificarea și descrierea proceselor operaționale în domeniul evenimentelor publice și întrunirilor publice conform prevederilor legale</w:t>
            </w:r>
          </w:p>
        </w:tc>
        <w:tc>
          <w:tcPr>
            <w:tcW w:w="1843" w:type="dxa"/>
            <w:tcBorders>
              <w:top w:val="nil"/>
              <w:left w:val="nil"/>
              <w:bottom w:val="single" w:sz="4" w:space="0" w:color="auto"/>
              <w:right w:val="single" w:sz="4" w:space="0" w:color="auto"/>
            </w:tcBorders>
            <w:vAlign w:val="center"/>
            <w:hideMark/>
          </w:tcPr>
          <w:p w14:paraId="1920451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Lista proceselor operaționale aprobată; 100% din procesele operaționale identificate descrise </w:t>
            </w:r>
          </w:p>
        </w:tc>
        <w:tc>
          <w:tcPr>
            <w:tcW w:w="1026" w:type="dxa"/>
            <w:tcBorders>
              <w:top w:val="nil"/>
              <w:left w:val="nil"/>
              <w:bottom w:val="nil"/>
              <w:right w:val="single" w:sz="4" w:space="0" w:color="auto"/>
            </w:tcBorders>
            <w:vAlign w:val="center"/>
            <w:hideMark/>
          </w:tcPr>
          <w:p w14:paraId="0606F23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100" w:type="dxa"/>
            <w:tcBorders>
              <w:top w:val="nil"/>
              <w:left w:val="nil"/>
              <w:bottom w:val="nil"/>
              <w:right w:val="single" w:sz="4" w:space="0" w:color="auto"/>
            </w:tcBorders>
            <w:vAlign w:val="center"/>
            <w:hideMark/>
          </w:tcPr>
          <w:p w14:paraId="5386518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15" w:type="dxa"/>
            <w:tcBorders>
              <w:top w:val="nil"/>
              <w:left w:val="nil"/>
              <w:bottom w:val="single" w:sz="4" w:space="0" w:color="auto"/>
              <w:right w:val="single" w:sz="4" w:space="0" w:color="auto"/>
            </w:tcBorders>
            <w:vAlign w:val="center"/>
            <w:hideMark/>
          </w:tcPr>
          <w:p w14:paraId="62F1F74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77A7BC0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nil"/>
              <w:right w:val="single" w:sz="4" w:space="0" w:color="auto"/>
            </w:tcBorders>
            <w:vAlign w:val="center"/>
            <w:hideMark/>
          </w:tcPr>
          <w:p w14:paraId="78E52797" w14:textId="658FCB80"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nil"/>
              <w:left w:val="nil"/>
              <w:bottom w:val="nil"/>
              <w:right w:val="single" w:sz="4" w:space="0" w:color="auto"/>
            </w:tcBorders>
            <w:vAlign w:val="center"/>
            <w:hideMark/>
          </w:tcPr>
          <w:p w14:paraId="0A2CBDFA"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66,9</w:t>
            </w:r>
          </w:p>
        </w:tc>
        <w:tc>
          <w:tcPr>
            <w:tcW w:w="1000" w:type="dxa"/>
            <w:tcBorders>
              <w:top w:val="nil"/>
              <w:left w:val="nil"/>
              <w:bottom w:val="single" w:sz="4" w:space="0" w:color="auto"/>
              <w:right w:val="single" w:sz="4" w:space="0" w:color="auto"/>
            </w:tcBorders>
            <w:vAlign w:val="center"/>
            <w:hideMark/>
          </w:tcPr>
          <w:p w14:paraId="7180C58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7425F41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6F1173D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B94D69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67F94B9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III, 2026</w:t>
            </w:r>
          </w:p>
        </w:tc>
        <w:tc>
          <w:tcPr>
            <w:tcW w:w="1162" w:type="dxa"/>
            <w:tcBorders>
              <w:top w:val="nil"/>
              <w:left w:val="nil"/>
              <w:bottom w:val="nil"/>
              <w:right w:val="single" w:sz="4" w:space="0" w:color="auto"/>
            </w:tcBorders>
            <w:vAlign w:val="center"/>
            <w:hideMark/>
          </w:tcPr>
          <w:p w14:paraId="61D535B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64672B7E" w14:textId="77777777" w:rsidTr="004356CF">
        <w:trPr>
          <w:trHeight w:val="2080"/>
        </w:trPr>
        <w:tc>
          <w:tcPr>
            <w:tcW w:w="568" w:type="dxa"/>
            <w:vMerge w:val="restart"/>
            <w:tcBorders>
              <w:top w:val="nil"/>
              <w:left w:val="single" w:sz="4" w:space="0" w:color="auto"/>
              <w:bottom w:val="single" w:sz="4" w:space="0" w:color="auto"/>
              <w:right w:val="single" w:sz="4" w:space="0" w:color="auto"/>
            </w:tcBorders>
            <w:hideMark/>
          </w:tcPr>
          <w:p w14:paraId="642B5A2C" w14:textId="4FCFFAF4"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6E2F3701" w14:textId="77777777" w:rsidR="00CB1061" w:rsidRPr="000C6E07" w:rsidRDefault="00CB1061" w:rsidP="00CB1061">
            <w:pPr>
              <w:spacing w:after="0"/>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Dotarea serviciilor de ordine și securitate publică conform PSO aprobate în domeniul evenimentelor publice și respectiv a </w:t>
            </w:r>
            <w:r w:rsidRPr="000C6E07">
              <w:rPr>
                <w:rFonts w:eastAsia="Times New Roman" w:cs="Times New Roman"/>
                <w:color w:val="000000"/>
                <w:sz w:val="20"/>
                <w:szCs w:val="20"/>
                <w:lang w:val="ro-RO"/>
                <w14:ligatures w14:val="none"/>
              </w:rPr>
              <w:lastRenderedPageBreak/>
              <w:t>întrunirilor publice</w:t>
            </w:r>
          </w:p>
        </w:tc>
        <w:tc>
          <w:tcPr>
            <w:tcW w:w="1843" w:type="dxa"/>
            <w:tcBorders>
              <w:top w:val="nil"/>
              <w:left w:val="nil"/>
              <w:bottom w:val="single" w:sz="4" w:space="0" w:color="auto"/>
              <w:right w:val="single" w:sz="4" w:space="0" w:color="auto"/>
            </w:tcBorders>
            <w:vAlign w:val="center"/>
            <w:hideMark/>
          </w:tcPr>
          <w:p w14:paraId="245E063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lastRenderedPageBreak/>
              <w:t>PSO interinstituționale în domeniul evenimentelor și întrunirilor publice coordonate cu Procuratura Generală și APL, aprobate pentru 100% din procesele descrise</w:t>
            </w:r>
          </w:p>
        </w:tc>
        <w:tc>
          <w:tcPr>
            <w:tcW w:w="1026" w:type="dxa"/>
            <w:tcBorders>
              <w:top w:val="single" w:sz="4" w:space="0" w:color="auto"/>
              <w:left w:val="nil"/>
              <w:bottom w:val="nil"/>
              <w:right w:val="single" w:sz="4" w:space="0" w:color="auto"/>
            </w:tcBorders>
            <w:vAlign w:val="center"/>
            <w:hideMark/>
          </w:tcPr>
          <w:p w14:paraId="462158B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1.134,5</w:t>
            </w:r>
          </w:p>
        </w:tc>
        <w:tc>
          <w:tcPr>
            <w:tcW w:w="1100" w:type="dxa"/>
            <w:tcBorders>
              <w:top w:val="single" w:sz="4" w:space="0" w:color="auto"/>
              <w:left w:val="nil"/>
              <w:bottom w:val="nil"/>
              <w:right w:val="single" w:sz="4" w:space="0" w:color="auto"/>
            </w:tcBorders>
            <w:vAlign w:val="center"/>
            <w:hideMark/>
          </w:tcPr>
          <w:p w14:paraId="0854BA6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1.134,5</w:t>
            </w:r>
          </w:p>
        </w:tc>
        <w:tc>
          <w:tcPr>
            <w:tcW w:w="1015" w:type="dxa"/>
            <w:tcBorders>
              <w:top w:val="nil"/>
              <w:left w:val="nil"/>
              <w:bottom w:val="single" w:sz="4" w:space="0" w:color="auto"/>
              <w:right w:val="single" w:sz="4" w:space="0" w:color="auto"/>
            </w:tcBorders>
            <w:vAlign w:val="center"/>
            <w:hideMark/>
          </w:tcPr>
          <w:p w14:paraId="357EA53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56949BC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single" w:sz="4" w:space="0" w:color="auto"/>
              <w:left w:val="nil"/>
              <w:bottom w:val="single" w:sz="4" w:space="0" w:color="auto"/>
              <w:right w:val="single" w:sz="4" w:space="0" w:color="auto"/>
            </w:tcBorders>
            <w:vAlign w:val="center"/>
            <w:hideMark/>
          </w:tcPr>
          <w:p w14:paraId="1E29CE22" w14:textId="44DB8C30" w:rsidR="00CB1061" w:rsidRPr="000C6E07" w:rsidRDefault="00CB1061" w:rsidP="00CB1061">
            <w:pPr>
              <w:spacing w:after="0"/>
              <w:jc w:val="center"/>
              <w:rPr>
                <w:rFonts w:eastAsia="Times New Roman" w:cs="Times New Roman"/>
                <w:color w:val="000000"/>
                <w:sz w:val="20"/>
                <w:szCs w:val="20"/>
                <w:lang w:val="ro-RO"/>
                <w14:ligatures w14:val="none"/>
              </w:rPr>
            </w:pPr>
            <w:r w:rsidRPr="005A47DD">
              <w:rPr>
                <w:rFonts w:eastAsia="Times New Roman" w:cs="Times New Roman"/>
                <w:color w:val="000000"/>
                <w:sz w:val="20"/>
                <w:szCs w:val="20"/>
                <w:lang w:val="ro-RO"/>
                <w14:ligatures w14:val="none"/>
              </w:rPr>
              <w:t>3505</w:t>
            </w:r>
          </w:p>
        </w:tc>
        <w:tc>
          <w:tcPr>
            <w:tcW w:w="1000" w:type="dxa"/>
            <w:tcBorders>
              <w:top w:val="single" w:sz="4" w:space="0" w:color="auto"/>
              <w:left w:val="nil"/>
              <w:bottom w:val="single" w:sz="4" w:space="0" w:color="auto"/>
              <w:right w:val="single" w:sz="4" w:space="0" w:color="auto"/>
            </w:tcBorders>
            <w:vAlign w:val="center"/>
            <w:hideMark/>
          </w:tcPr>
          <w:p w14:paraId="44D5ACD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5454A0AD"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567,3</w:t>
            </w:r>
          </w:p>
        </w:tc>
        <w:tc>
          <w:tcPr>
            <w:tcW w:w="1000" w:type="dxa"/>
            <w:tcBorders>
              <w:top w:val="nil"/>
              <w:left w:val="nil"/>
              <w:bottom w:val="nil"/>
              <w:right w:val="single" w:sz="4" w:space="0" w:color="auto"/>
            </w:tcBorders>
            <w:vAlign w:val="center"/>
            <w:hideMark/>
          </w:tcPr>
          <w:p w14:paraId="4DA4EE4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567,3</w:t>
            </w:r>
          </w:p>
        </w:tc>
        <w:tc>
          <w:tcPr>
            <w:tcW w:w="1000" w:type="dxa"/>
            <w:tcBorders>
              <w:top w:val="nil"/>
              <w:left w:val="nil"/>
              <w:bottom w:val="single" w:sz="4" w:space="0" w:color="auto"/>
              <w:right w:val="single" w:sz="4" w:space="0" w:color="auto"/>
            </w:tcBorders>
            <w:vAlign w:val="center"/>
            <w:hideMark/>
          </w:tcPr>
          <w:p w14:paraId="4B55128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19B5640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5ECAE18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 2028</w:t>
            </w:r>
          </w:p>
        </w:tc>
        <w:tc>
          <w:tcPr>
            <w:tcW w:w="1162" w:type="dxa"/>
            <w:tcBorders>
              <w:top w:val="single" w:sz="4" w:space="0" w:color="auto"/>
              <w:left w:val="nil"/>
              <w:bottom w:val="single" w:sz="4" w:space="0" w:color="auto"/>
              <w:right w:val="single" w:sz="4" w:space="0" w:color="auto"/>
            </w:tcBorders>
            <w:vAlign w:val="center"/>
            <w:hideMark/>
          </w:tcPr>
          <w:p w14:paraId="283A6CA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55EF35FF" w14:textId="77777777" w:rsidTr="004356CF">
        <w:trPr>
          <w:trHeight w:val="1300"/>
        </w:trPr>
        <w:tc>
          <w:tcPr>
            <w:tcW w:w="568" w:type="dxa"/>
            <w:vMerge/>
            <w:tcBorders>
              <w:top w:val="nil"/>
              <w:left w:val="single" w:sz="4" w:space="0" w:color="auto"/>
              <w:bottom w:val="single" w:sz="4" w:space="0" w:color="auto"/>
              <w:right w:val="single" w:sz="4" w:space="0" w:color="auto"/>
            </w:tcBorders>
            <w:hideMark/>
          </w:tcPr>
          <w:p w14:paraId="64FC5F08"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0D6A314"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53B02B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Serviciile de ordine și securitate publică dotate în proporție de 30% conform normativelor aprobate</w:t>
            </w:r>
          </w:p>
        </w:tc>
        <w:tc>
          <w:tcPr>
            <w:tcW w:w="1026" w:type="dxa"/>
            <w:tcBorders>
              <w:top w:val="single" w:sz="4" w:space="0" w:color="auto"/>
              <w:left w:val="nil"/>
              <w:bottom w:val="nil"/>
              <w:right w:val="single" w:sz="4" w:space="0" w:color="auto"/>
            </w:tcBorders>
            <w:vAlign w:val="center"/>
            <w:hideMark/>
          </w:tcPr>
          <w:p w14:paraId="43E324A1"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44.100,0</w:t>
            </w:r>
          </w:p>
        </w:tc>
        <w:tc>
          <w:tcPr>
            <w:tcW w:w="1100" w:type="dxa"/>
            <w:tcBorders>
              <w:top w:val="single" w:sz="4" w:space="0" w:color="auto"/>
              <w:left w:val="nil"/>
              <w:bottom w:val="nil"/>
              <w:right w:val="single" w:sz="4" w:space="0" w:color="auto"/>
            </w:tcBorders>
            <w:vAlign w:val="center"/>
            <w:hideMark/>
          </w:tcPr>
          <w:p w14:paraId="7C0116A4"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44.100,0</w:t>
            </w:r>
          </w:p>
        </w:tc>
        <w:tc>
          <w:tcPr>
            <w:tcW w:w="1015" w:type="dxa"/>
            <w:tcBorders>
              <w:top w:val="nil"/>
              <w:left w:val="nil"/>
              <w:bottom w:val="single" w:sz="4" w:space="0" w:color="auto"/>
              <w:right w:val="single" w:sz="4" w:space="0" w:color="auto"/>
            </w:tcBorders>
            <w:vAlign w:val="center"/>
            <w:hideMark/>
          </w:tcPr>
          <w:p w14:paraId="50CE8FD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tcBorders>
              <w:top w:val="nil"/>
              <w:left w:val="nil"/>
              <w:bottom w:val="single" w:sz="4" w:space="0" w:color="auto"/>
              <w:right w:val="single" w:sz="4" w:space="0" w:color="auto"/>
            </w:tcBorders>
            <w:vAlign w:val="center"/>
            <w:hideMark/>
          </w:tcPr>
          <w:p w14:paraId="1F70BAC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tcBorders>
              <w:top w:val="nil"/>
              <w:left w:val="nil"/>
              <w:bottom w:val="single" w:sz="4" w:space="0" w:color="auto"/>
              <w:right w:val="single" w:sz="4" w:space="0" w:color="auto"/>
            </w:tcBorders>
            <w:vAlign w:val="center"/>
            <w:hideMark/>
          </w:tcPr>
          <w:p w14:paraId="3C30EFEF" w14:textId="77777777" w:rsidR="00CB1061"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xml:space="preserve">3502 </w:t>
            </w:r>
          </w:p>
          <w:p w14:paraId="42B9C99E" w14:textId="4FB70B14"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6C78991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69973B9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nil"/>
              <w:right w:val="single" w:sz="4" w:space="0" w:color="auto"/>
            </w:tcBorders>
            <w:vAlign w:val="center"/>
            <w:hideMark/>
          </w:tcPr>
          <w:p w14:paraId="69D5D71C"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22.050,0</w:t>
            </w:r>
          </w:p>
        </w:tc>
        <w:tc>
          <w:tcPr>
            <w:tcW w:w="1000" w:type="dxa"/>
            <w:tcBorders>
              <w:top w:val="nil"/>
              <w:left w:val="nil"/>
              <w:bottom w:val="nil"/>
              <w:right w:val="single" w:sz="4" w:space="0" w:color="auto"/>
            </w:tcBorders>
            <w:vAlign w:val="center"/>
            <w:hideMark/>
          </w:tcPr>
          <w:p w14:paraId="4BAA436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22.050,0</w:t>
            </w:r>
          </w:p>
        </w:tc>
        <w:tc>
          <w:tcPr>
            <w:tcW w:w="1000" w:type="dxa"/>
            <w:tcBorders>
              <w:top w:val="nil"/>
              <w:left w:val="nil"/>
              <w:bottom w:val="single" w:sz="4" w:space="0" w:color="auto"/>
              <w:right w:val="single" w:sz="4" w:space="0" w:color="auto"/>
            </w:tcBorders>
            <w:vAlign w:val="center"/>
            <w:hideMark/>
          </w:tcPr>
          <w:p w14:paraId="5DE8DEB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49B629C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2029</w:t>
            </w:r>
          </w:p>
        </w:tc>
        <w:tc>
          <w:tcPr>
            <w:tcW w:w="1162" w:type="dxa"/>
            <w:tcBorders>
              <w:top w:val="nil"/>
              <w:left w:val="nil"/>
              <w:bottom w:val="single" w:sz="4" w:space="0" w:color="auto"/>
              <w:right w:val="single" w:sz="4" w:space="0" w:color="auto"/>
            </w:tcBorders>
            <w:vAlign w:val="center"/>
            <w:hideMark/>
          </w:tcPr>
          <w:p w14:paraId="6C6E138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E86770" w:rsidRPr="000C6E07" w14:paraId="4B5BFF3F" w14:textId="77777777" w:rsidTr="00102050">
        <w:trPr>
          <w:trHeight w:val="1310"/>
        </w:trPr>
        <w:tc>
          <w:tcPr>
            <w:tcW w:w="568" w:type="dxa"/>
            <w:vMerge w:val="restart"/>
            <w:tcBorders>
              <w:top w:val="nil"/>
              <w:left w:val="single" w:sz="4" w:space="0" w:color="auto"/>
              <w:bottom w:val="single" w:sz="4" w:space="0" w:color="auto"/>
              <w:right w:val="single" w:sz="4" w:space="0" w:color="auto"/>
            </w:tcBorders>
            <w:hideMark/>
          </w:tcPr>
          <w:p w14:paraId="54F75479" w14:textId="0E6031F1" w:rsidR="00E86770" w:rsidRPr="000C6E07" w:rsidRDefault="00E86770"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val="restart"/>
            <w:tcBorders>
              <w:top w:val="nil"/>
              <w:left w:val="single" w:sz="4" w:space="0" w:color="auto"/>
              <w:bottom w:val="single" w:sz="4" w:space="0" w:color="auto"/>
              <w:right w:val="single" w:sz="4" w:space="0" w:color="auto"/>
            </w:tcBorders>
            <w:hideMark/>
          </w:tcPr>
          <w:p w14:paraId="56F3FBFF" w14:textId="3CEB789E" w:rsidR="00E86770" w:rsidRPr="00E86770" w:rsidRDefault="00E86770" w:rsidP="00CB1061">
            <w:pPr>
              <w:spacing w:after="0"/>
              <w:rPr>
                <w:rFonts w:eastAsia="Times New Roman" w:cs="Times New Roman"/>
                <w:color w:val="000000"/>
                <w:sz w:val="20"/>
                <w:szCs w:val="20"/>
                <w:lang w:val="ro-RO"/>
                <w14:ligatures w14:val="none"/>
              </w:rPr>
            </w:pPr>
            <w:r w:rsidRPr="00E86770">
              <w:rPr>
                <w:rFonts w:eastAsia="Times New Roman" w:cs="Times New Roman"/>
                <w:color w:val="000000"/>
                <w:sz w:val="20"/>
                <w:szCs w:val="20"/>
                <w:lang w:val="ro-RO"/>
                <w14:ligatures w14:val="none"/>
              </w:rPr>
              <w:t xml:space="preserve">Consolidarea mecanismului de dialog în contextul evenimentelor publice, întrunirilor și altor situații care pot genera provocări la adresa ordinii și siguranței publice </w:t>
            </w:r>
          </w:p>
          <w:p w14:paraId="2F7081D2"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A31234B" w14:textId="7F6453C6"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Procesele operaționale identificate și descrise;</w:t>
            </w:r>
          </w:p>
        </w:tc>
        <w:tc>
          <w:tcPr>
            <w:tcW w:w="1026" w:type="dxa"/>
            <w:vMerge w:val="restart"/>
            <w:tcBorders>
              <w:top w:val="single" w:sz="4" w:space="0" w:color="auto"/>
              <w:left w:val="nil"/>
              <w:bottom w:val="nil"/>
              <w:right w:val="single" w:sz="4" w:space="0" w:color="auto"/>
            </w:tcBorders>
            <w:vAlign w:val="center"/>
          </w:tcPr>
          <w:p w14:paraId="1A23AB19" w14:textId="4AD7F2CC" w:rsidR="00E86770" w:rsidRPr="000C6E07" w:rsidRDefault="00E86770"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198,3</w:t>
            </w:r>
          </w:p>
        </w:tc>
        <w:tc>
          <w:tcPr>
            <w:tcW w:w="1100" w:type="dxa"/>
            <w:vMerge w:val="restart"/>
            <w:tcBorders>
              <w:top w:val="single" w:sz="4" w:space="0" w:color="auto"/>
              <w:left w:val="nil"/>
              <w:bottom w:val="nil"/>
              <w:right w:val="single" w:sz="4" w:space="0" w:color="auto"/>
            </w:tcBorders>
            <w:vAlign w:val="center"/>
          </w:tcPr>
          <w:p w14:paraId="6567900F" w14:textId="6A262930" w:rsidR="00E86770" w:rsidRPr="000C6E07" w:rsidRDefault="00E86770"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198,3</w:t>
            </w:r>
          </w:p>
        </w:tc>
        <w:tc>
          <w:tcPr>
            <w:tcW w:w="1015" w:type="dxa"/>
            <w:vMerge w:val="restart"/>
            <w:tcBorders>
              <w:top w:val="nil"/>
              <w:left w:val="nil"/>
              <w:bottom w:val="nil"/>
              <w:right w:val="single" w:sz="4" w:space="0" w:color="auto"/>
            </w:tcBorders>
            <w:vAlign w:val="center"/>
          </w:tcPr>
          <w:p w14:paraId="510E6F35" w14:textId="4C38315C"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nil"/>
              <w:bottom w:val="nil"/>
              <w:right w:val="single" w:sz="4" w:space="0" w:color="auto"/>
            </w:tcBorders>
            <w:vAlign w:val="center"/>
          </w:tcPr>
          <w:p w14:paraId="31CD2357" w14:textId="68873134"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nil"/>
              <w:bottom w:val="nil"/>
              <w:right w:val="single" w:sz="4" w:space="0" w:color="auto"/>
            </w:tcBorders>
            <w:vAlign w:val="center"/>
          </w:tcPr>
          <w:p w14:paraId="25D18757" w14:textId="621F979F"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vMerge w:val="restart"/>
            <w:tcBorders>
              <w:top w:val="nil"/>
              <w:left w:val="nil"/>
              <w:bottom w:val="nil"/>
              <w:right w:val="single" w:sz="4" w:space="0" w:color="auto"/>
            </w:tcBorders>
            <w:vAlign w:val="center"/>
          </w:tcPr>
          <w:p w14:paraId="7241DA10" w14:textId="5262A163"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bottom w:val="nil"/>
              <w:right w:val="single" w:sz="4" w:space="0" w:color="auto"/>
            </w:tcBorders>
            <w:vAlign w:val="center"/>
          </w:tcPr>
          <w:p w14:paraId="63578043" w14:textId="29E09623" w:rsidR="00E86770" w:rsidRPr="000C6E07" w:rsidRDefault="00E86770"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198,3</w:t>
            </w:r>
          </w:p>
        </w:tc>
        <w:tc>
          <w:tcPr>
            <w:tcW w:w="1000" w:type="dxa"/>
            <w:vMerge w:val="restart"/>
            <w:tcBorders>
              <w:top w:val="single" w:sz="4" w:space="0" w:color="auto"/>
              <w:left w:val="nil"/>
              <w:bottom w:val="nil"/>
              <w:right w:val="single" w:sz="4" w:space="0" w:color="auto"/>
            </w:tcBorders>
            <w:vAlign w:val="center"/>
          </w:tcPr>
          <w:p w14:paraId="2EE06C46" w14:textId="5EAB7DA0"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single" w:sz="4" w:space="0" w:color="auto"/>
              <w:left w:val="nil"/>
              <w:bottom w:val="nil"/>
              <w:right w:val="single" w:sz="4" w:space="0" w:color="auto"/>
            </w:tcBorders>
            <w:vAlign w:val="center"/>
          </w:tcPr>
          <w:p w14:paraId="72A67C6A" w14:textId="17F8D0A4"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nil"/>
              <w:bottom w:val="nil"/>
              <w:right w:val="single" w:sz="4" w:space="0" w:color="auto"/>
            </w:tcBorders>
            <w:vAlign w:val="center"/>
          </w:tcPr>
          <w:p w14:paraId="77FFD72E" w14:textId="73A13E00"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nil"/>
              <w:bottom w:val="nil"/>
              <w:right w:val="single" w:sz="4" w:space="0" w:color="auto"/>
            </w:tcBorders>
            <w:vAlign w:val="center"/>
          </w:tcPr>
          <w:p w14:paraId="2CEEF679" w14:textId="148EFF29"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vMerge w:val="restart"/>
            <w:tcBorders>
              <w:top w:val="nil"/>
              <w:left w:val="nil"/>
              <w:bottom w:val="nil"/>
              <w:right w:val="single" w:sz="4" w:space="0" w:color="auto"/>
            </w:tcBorders>
            <w:vAlign w:val="center"/>
          </w:tcPr>
          <w:p w14:paraId="6672560C" w14:textId="4D5E64D9"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E86770" w:rsidRPr="000C6E07" w14:paraId="56E6FB21" w14:textId="77777777" w:rsidTr="00102050">
        <w:trPr>
          <w:trHeight w:val="1040"/>
        </w:trPr>
        <w:tc>
          <w:tcPr>
            <w:tcW w:w="568" w:type="dxa"/>
            <w:vMerge/>
            <w:tcBorders>
              <w:top w:val="nil"/>
              <w:left w:val="single" w:sz="4" w:space="0" w:color="auto"/>
              <w:bottom w:val="single" w:sz="4" w:space="0" w:color="auto"/>
              <w:right w:val="single" w:sz="4" w:space="0" w:color="auto"/>
            </w:tcBorders>
            <w:hideMark/>
          </w:tcPr>
          <w:p w14:paraId="1A44246C" w14:textId="77777777" w:rsidR="00E86770" w:rsidRPr="000C6E07" w:rsidRDefault="00E86770"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4335FAD5"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8E48EAE" w14:textId="77777777" w:rsidR="00E86770"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Instrucțiuni privind activitatea de dialog la evenimente publice aprobate</w:t>
            </w:r>
          </w:p>
        </w:tc>
        <w:tc>
          <w:tcPr>
            <w:tcW w:w="1026" w:type="dxa"/>
            <w:vMerge/>
            <w:tcBorders>
              <w:left w:val="single" w:sz="4" w:space="0" w:color="auto"/>
              <w:bottom w:val="single" w:sz="4" w:space="0" w:color="000000"/>
              <w:right w:val="single" w:sz="4" w:space="0" w:color="auto"/>
            </w:tcBorders>
            <w:vAlign w:val="center"/>
            <w:hideMark/>
          </w:tcPr>
          <w:p w14:paraId="43425FC2" w14:textId="77777777" w:rsidR="00E86770" w:rsidRPr="000C6E07" w:rsidRDefault="00E86770" w:rsidP="00CB1061">
            <w:pPr>
              <w:spacing w:after="0"/>
              <w:rPr>
                <w:rFonts w:eastAsia="Times New Roman" w:cs="Times New Roman"/>
                <w:color w:val="0070C0"/>
                <w:sz w:val="20"/>
                <w:szCs w:val="20"/>
                <w:lang w:val="ro-RO"/>
                <w14:ligatures w14:val="none"/>
              </w:rPr>
            </w:pPr>
          </w:p>
        </w:tc>
        <w:tc>
          <w:tcPr>
            <w:tcW w:w="1100" w:type="dxa"/>
            <w:vMerge/>
            <w:tcBorders>
              <w:left w:val="single" w:sz="4" w:space="0" w:color="auto"/>
              <w:bottom w:val="single" w:sz="4" w:space="0" w:color="000000"/>
              <w:right w:val="single" w:sz="4" w:space="0" w:color="auto"/>
            </w:tcBorders>
            <w:vAlign w:val="center"/>
            <w:hideMark/>
          </w:tcPr>
          <w:p w14:paraId="6460784E" w14:textId="77777777" w:rsidR="00E86770" w:rsidRPr="000C6E07" w:rsidRDefault="00E86770" w:rsidP="00CB1061">
            <w:pPr>
              <w:spacing w:after="0"/>
              <w:rPr>
                <w:rFonts w:eastAsia="Times New Roman" w:cs="Times New Roman"/>
                <w:color w:val="0070C0"/>
                <w:sz w:val="20"/>
                <w:szCs w:val="20"/>
                <w:lang w:val="ro-RO"/>
                <w14:ligatures w14:val="none"/>
              </w:rPr>
            </w:pPr>
          </w:p>
        </w:tc>
        <w:tc>
          <w:tcPr>
            <w:tcW w:w="1015" w:type="dxa"/>
            <w:vMerge/>
            <w:tcBorders>
              <w:left w:val="single" w:sz="4" w:space="0" w:color="auto"/>
              <w:bottom w:val="single" w:sz="4" w:space="0" w:color="auto"/>
              <w:right w:val="single" w:sz="4" w:space="0" w:color="auto"/>
            </w:tcBorders>
            <w:vAlign w:val="center"/>
            <w:hideMark/>
          </w:tcPr>
          <w:p w14:paraId="63F43894"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922" w:type="dxa"/>
            <w:vMerge/>
            <w:tcBorders>
              <w:left w:val="single" w:sz="4" w:space="0" w:color="auto"/>
              <w:bottom w:val="single" w:sz="4" w:space="0" w:color="auto"/>
              <w:right w:val="single" w:sz="4" w:space="0" w:color="auto"/>
            </w:tcBorders>
            <w:vAlign w:val="center"/>
            <w:hideMark/>
          </w:tcPr>
          <w:p w14:paraId="2B2B635A"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182" w:type="dxa"/>
            <w:vMerge/>
            <w:tcBorders>
              <w:left w:val="single" w:sz="4" w:space="0" w:color="auto"/>
              <w:bottom w:val="single" w:sz="4" w:space="0" w:color="000000"/>
              <w:right w:val="single" w:sz="4" w:space="0" w:color="auto"/>
            </w:tcBorders>
            <w:vAlign w:val="center"/>
            <w:hideMark/>
          </w:tcPr>
          <w:p w14:paraId="3A8F4884"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25DDBB1C"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000000"/>
              <w:right w:val="single" w:sz="4" w:space="0" w:color="auto"/>
            </w:tcBorders>
            <w:vAlign w:val="center"/>
            <w:hideMark/>
          </w:tcPr>
          <w:p w14:paraId="465FDBC4" w14:textId="77777777" w:rsidR="00E86770" w:rsidRPr="000C6E07" w:rsidRDefault="00E86770" w:rsidP="00CB1061">
            <w:pPr>
              <w:spacing w:after="0"/>
              <w:rPr>
                <w:rFonts w:eastAsia="Times New Roman" w:cs="Times New Roman"/>
                <w:color w:val="0070C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667EC9B0"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290C5CD3"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00" w:type="dxa"/>
            <w:vMerge/>
            <w:tcBorders>
              <w:left w:val="single" w:sz="4" w:space="0" w:color="auto"/>
              <w:bottom w:val="single" w:sz="4" w:space="0" w:color="auto"/>
              <w:right w:val="single" w:sz="4" w:space="0" w:color="auto"/>
            </w:tcBorders>
            <w:vAlign w:val="center"/>
            <w:hideMark/>
          </w:tcPr>
          <w:p w14:paraId="5A51D61B"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082" w:type="dxa"/>
            <w:vMerge/>
            <w:tcBorders>
              <w:left w:val="single" w:sz="4" w:space="0" w:color="auto"/>
              <w:bottom w:val="single" w:sz="4" w:space="0" w:color="auto"/>
              <w:right w:val="single" w:sz="4" w:space="0" w:color="auto"/>
            </w:tcBorders>
            <w:vAlign w:val="center"/>
            <w:hideMark/>
          </w:tcPr>
          <w:p w14:paraId="108FA047" w14:textId="77777777" w:rsidR="00E86770" w:rsidRPr="000C6E07" w:rsidRDefault="00E86770" w:rsidP="00CB1061">
            <w:pPr>
              <w:spacing w:after="0"/>
              <w:rPr>
                <w:rFonts w:eastAsia="Times New Roman" w:cs="Times New Roman"/>
                <w:color w:val="000000"/>
                <w:sz w:val="20"/>
                <w:szCs w:val="20"/>
                <w:lang w:val="ro-RO"/>
                <w14:ligatures w14:val="none"/>
              </w:rPr>
            </w:pPr>
          </w:p>
        </w:tc>
        <w:tc>
          <w:tcPr>
            <w:tcW w:w="1162" w:type="dxa"/>
            <w:vMerge/>
            <w:tcBorders>
              <w:left w:val="single" w:sz="4" w:space="0" w:color="auto"/>
              <w:bottom w:val="single" w:sz="4" w:space="0" w:color="auto"/>
              <w:right w:val="single" w:sz="4" w:space="0" w:color="auto"/>
            </w:tcBorders>
            <w:vAlign w:val="center"/>
            <w:hideMark/>
          </w:tcPr>
          <w:p w14:paraId="71048ECB" w14:textId="77777777" w:rsidR="00E86770" w:rsidRPr="000C6E07" w:rsidRDefault="00E86770" w:rsidP="00CB1061">
            <w:pPr>
              <w:spacing w:after="0"/>
              <w:rPr>
                <w:rFonts w:eastAsia="Times New Roman" w:cs="Times New Roman"/>
                <w:color w:val="000000"/>
                <w:sz w:val="20"/>
                <w:szCs w:val="20"/>
                <w:lang w:val="ro-RO"/>
                <w14:ligatures w14:val="none"/>
              </w:rPr>
            </w:pPr>
          </w:p>
        </w:tc>
      </w:tr>
      <w:tr w:rsidR="00CB1061" w:rsidRPr="000C6E07" w14:paraId="30F9DEEB"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763D04B7"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1DEAD79E"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55E9B0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4 formatori în domeniu formați</w:t>
            </w:r>
          </w:p>
        </w:tc>
        <w:tc>
          <w:tcPr>
            <w:tcW w:w="1026" w:type="dxa"/>
            <w:tcBorders>
              <w:top w:val="nil"/>
              <w:left w:val="nil"/>
              <w:bottom w:val="nil"/>
              <w:right w:val="single" w:sz="4" w:space="0" w:color="auto"/>
            </w:tcBorders>
            <w:vAlign w:val="center"/>
            <w:hideMark/>
          </w:tcPr>
          <w:p w14:paraId="296EDC4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684,6</w:t>
            </w:r>
          </w:p>
        </w:tc>
        <w:tc>
          <w:tcPr>
            <w:tcW w:w="1100" w:type="dxa"/>
            <w:tcBorders>
              <w:top w:val="nil"/>
              <w:left w:val="nil"/>
              <w:bottom w:val="single" w:sz="4" w:space="0" w:color="auto"/>
              <w:right w:val="single" w:sz="4" w:space="0" w:color="auto"/>
            </w:tcBorders>
            <w:vAlign w:val="center"/>
            <w:hideMark/>
          </w:tcPr>
          <w:p w14:paraId="1D04424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nil"/>
              <w:left w:val="nil"/>
              <w:bottom w:val="nil"/>
              <w:right w:val="single" w:sz="4" w:space="0" w:color="auto"/>
            </w:tcBorders>
            <w:vAlign w:val="center"/>
            <w:hideMark/>
          </w:tcPr>
          <w:p w14:paraId="476EFB53"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684,6</w:t>
            </w:r>
          </w:p>
        </w:tc>
        <w:tc>
          <w:tcPr>
            <w:tcW w:w="922" w:type="dxa"/>
            <w:tcBorders>
              <w:top w:val="nil"/>
              <w:left w:val="nil"/>
              <w:bottom w:val="single" w:sz="4" w:space="0" w:color="auto"/>
              <w:right w:val="single" w:sz="4" w:space="0" w:color="auto"/>
            </w:tcBorders>
            <w:vAlign w:val="center"/>
            <w:hideMark/>
          </w:tcPr>
          <w:p w14:paraId="07AC8A14" w14:textId="3B68C77E"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r w:rsidR="00E86770" w:rsidRPr="000C6E07">
              <w:rPr>
                <w:rFonts w:eastAsia="Times New Roman" w:cs="Times New Roman"/>
                <w:color w:val="0070C0"/>
                <w:sz w:val="20"/>
                <w:szCs w:val="20"/>
                <w:lang w:val="ro-RO"/>
                <w14:ligatures w14:val="none"/>
              </w:rPr>
              <w:t>684,6</w:t>
            </w:r>
          </w:p>
        </w:tc>
        <w:tc>
          <w:tcPr>
            <w:tcW w:w="1182" w:type="dxa"/>
            <w:tcBorders>
              <w:top w:val="nil"/>
              <w:left w:val="nil"/>
              <w:bottom w:val="single" w:sz="4" w:space="0" w:color="auto"/>
              <w:right w:val="single" w:sz="4" w:space="0" w:color="auto"/>
            </w:tcBorders>
            <w:vAlign w:val="center"/>
            <w:hideMark/>
          </w:tcPr>
          <w:p w14:paraId="0139DC7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23CB616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4C6376CB"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684,6</w:t>
            </w:r>
          </w:p>
        </w:tc>
        <w:tc>
          <w:tcPr>
            <w:tcW w:w="1000" w:type="dxa"/>
            <w:tcBorders>
              <w:top w:val="nil"/>
              <w:left w:val="nil"/>
              <w:bottom w:val="single" w:sz="4" w:space="0" w:color="auto"/>
              <w:right w:val="single" w:sz="4" w:space="0" w:color="auto"/>
            </w:tcBorders>
            <w:vAlign w:val="center"/>
            <w:hideMark/>
          </w:tcPr>
          <w:p w14:paraId="1ED123B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5853530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FA44A6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2CC7CAC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2027</w:t>
            </w:r>
          </w:p>
        </w:tc>
        <w:tc>
          <w:tcPr>
            <w:tcW w:w="1162" w:type="dxa"/>
            <w:tcBorders>
              <w:top w:val="nil"/>
              <w:left w:val="nil"/>
              <w:bottom w:val="single" w:sz="4" w:space="0" w:color="auto"/>
              <w:right w:val="single" w:sz="4" w:space="0" w:color="auto"/>
            </w:tcBorders>
            <w:vAlign w:val="center"/>
            <w:hideMark/>
          </w:tcPr>
          <w:p w14:paraId="07BB215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05AD2763"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7CE9A393"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2A35462D"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8D1E4E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36 de angajați în domeniu formați</w:t>
            </w:r>
          </w:p>
        </w:tc>
        <w:tc>
          <w:tcPr>
            <w:tcW w:w="1026" w:type="dxa"/>
            <w:tcBorders>
              <w:top w:val="single" w:sz="4" w:space="0" w:color="auto"/>
              <w:left w:val="nil"/>
              <w:bottom w:val="nil"/>
              <w:right w:val="single" w:sz="4" w:space="0" w:color="auto"/>
            </w:tcBorders>
            <w:vAlign w:val="center"/>
            <w:hideMark/>
          </w:tcPr>
          <w:p w14:paraId="0747EA89"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w:t>
            </w:r>
          </w:p>
        </w:tc>
        <w:tc>
          <w:tcPr>
            <w:tcW w:w="1100" w:type="dxa"/>
            <w:tcBorders>
              <w:top w:val="nil"/>
              <w:left w:val="nil"/>
              <w:bottom w:val="single" w:sz="4" w:space="0" w:color="auto"/>
              <w:right w:val="single" w:sz="4" w:space="0" w:color="auto"/>
            </w:tcBorders>
            <w:vAlign w:val="center"/>
            <w:hideMark/>
          </w:tcPr>
          <w:p w14:paraId="6CFD311B"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tcBorders>
              <w:top w:val="single" w:sz="4" w:space="0" w:color="auto"/>
              <w:left w:val="nil"/>
              <w:bottom w:val="nil"/>
              <w:right w:val="single" w:sz="4" w:space="0" w:color="auto"/>
            </w:tcBorders>
            <w:vAlign w:val="center"/>
            <w:hideMark/>
          </w:tcPr>
          <w:p w14:paraId="4851C082"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w:t>
            </w:r>
          </w:p>
        </w:tc>
        <w:tc>
          <w:tcPr>
            <w:tcW w:w="922" w:type="dxa"/>
            <w:tcBorders>
              <w:top w:val="nil"/>
              <w:left w:val="nil"/>
              <w:bottom w:val="single" w:sz="4" w:space="0" w:color="auto"/>
              <w:right w:val="single" w:sz="4" w:space="0" w:color="auto"/>
            </w:tcBorders>
            <w:vAlign w:val="center"/>
            <w:hideMark/>
          </w:tcPr>
          <w:p w14:paraId="0353240E" w14:textId="0BA7006F" w:rsidR="00CB1061" w:rsidRPr="000C6E07" w:rsidRDefault="00E86770"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70C0"/>
                <w:sz w:val="20"/>
                <w:szCs w:val="20"/>
                <w:lang w:val="ro-RO"/>
                <w14:ligatures w14:val="none"/>
              </w:rPr>
              <w:t>50,4</w:t>
            </w:r>
          </w:p>
        </w:tc>
        <w:tc>
          <w:tcPr>
            <w:tcW w:w="1182" w:type="dxa"/>
            <w:tcBorders>
              <w:top w:val="nil"/>
              <w:left w:val="nil"/>
              <w:bottom w:val="single" w:sz="4" w:space="0" w:color="auto"/>
              <w:right w:val="single" w:sz="4" w:space="0" w:color="auto"/>
            </w:tcBorders>
            <w:vAlign w:val="center"/>
            <w:hideMark/>
          </w:tcPr>
          <w:p w14:paraId="279AE4F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tcBorders>
              <w:top w:val="nil"/>
              <w:left w:val="nil"/>
              <w:bottom w:val="single" w:sz="4" w:space="0" w:color="auto"/>
              <w:right w:val="single" w:sz="4" w:space="0" w:color="auto"/>
            </w:tcBorders>
            <w:vAlign w:val="center"/>
            <w:hideMark/>
          </w:tcPr>
          <w:p w14:paraId="7C4F5E5A"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single" w:sz="4" w:space="0" w:color="auto"/>
              <w:left w:val="nil"/>
              <w:bottom w:val="single" w:sz="4" w:space="0" w:color="auto"/>
              <w:right w:val="single" w:sz="4" w:space="0" w:color="auto"/>
            </w:tcBorders>
            <w:vAlign w:val="center"/>
            <w:hideMark/>
          </w:tcPr>
          <w:p w14:paraId="0BE3AC7E"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nil"/>
              <w:right w:val="single" w:sz="4" w:space="0" w:color="auto"/>
            </w:tcBorders>
            <w:vAlign w:val="center"/>
            <w:hideMark/>
          </w:tcPr>
          <w:p w14:paraId="385D12C0" w14:textId="77777777" w:rsidR="00CB1061" w:rsidRPr="000C6E07" w:rsidRDefault="00CB1061" w:rsidP="00CB1061">
            <w:pPr>
              <w:spacing w:after="0"/>
              <w:jc w:val="center"/>
              <w:rPr>
                <w:rFonts w:eastAsia="Times New Roman" w:cs="Times New Roman"/>
                <w:color w:val="0070C0"/>
                <w:sz w:val="20"/>
                <w:szCs w:val="20"/>
                <w:lang w:val="ro-RO"/>
                <w14:ligatures w14:val="none"/>
              </w:rPr>
            </w:pPr>
            <w:r w:rsidRPr="000C6E07">
              <w:rPr>
                <w:rFonts w:eastAsia="Times New Roman" w:cs="Times New Roman"/>
                <w:color w:val="0070C0"/>
                <w:sz w:val="20"/>
                <w:szCs w:val="20"/>
                <w:lang w:val="ro-RO"/>
                <w14:ligatures w14:val="none"/>
              </w:rPr>
              <w:t>50,4</w:t>
            </w:r>
          </w:p>
        </w:tc>
        <w:tc>
          <w:tcPr>
            <w:tcW w:w="1000" w:type="dxa"/>
            <w:tcBorders>
              <w:top w:val="nil"/>
              <w:left w:val="nil"/>
              <w:bottom w:val="single" w:sz="4" w:space="0" w:color="auto"/>
              <w:right w:val="single" w:sz="4" w:space="0" w:color="auto"/>
            </w:tcBorders>
            <w:vAlign w:val="center"/>
            <w:hideMark/>
          </w:tcPr>
          <w:p w14:paraId="65A5135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tcBorders>
              <w:top w:val="nil"/>
              <w:left w:val="nil"/>
              <w:bottom w:val="single" w:sz="4" w:space="0" w:color="auto"/>
              <w:right w:val="single" w:sz="4" w:space="0" w:color="auto"/>
            </w:tcBorders>
            <w:vAlign w:val="center"/>
            <w:hideMark/>
          </w:tcPr>
          <w:p w14:paraId="08E39DF1"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tcBorders>
              <w:top w:val="nil"/>
              <w:left w:val="nil"/>
              <w:bottom w:val="single" w:sz="4" w:space="0" w:color="auto"/>
              <w:right w:val="single" w:sz="4" w:space="0" w:color="auto"/>
            </w:tcBorders>
            <w:vAlign w:val="center"/>
            <w:hideMark/>
          </w:tcPr>
          <w:p w14:paraId="1F2ED5E8"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2028</w:t>
            </w:r>
          </w:p>
        </w:tc>
        <w:tc>
          <w:tcPr>
            <w:tcW w:w="1162" w:type="dxa"/>
            <w:tcBorders>
              <w:top w:val="nil"/>
              <w:left w:val="nil"/>
              <w:bottom w:val="single" w:sz="4" w:space="0" w:color="auto"/>
              <w:right w:val="single" w:sz="4" w:space="0" w:color="auto"/>
            </w:tcBorders>
            <w:vAlign w:val="center"/>
            <w:hideMark/>
          </w:tcPr>
          <w:p w14:paraId="62D0F75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023AD436"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5ECCBA95"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F1EDA1E"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0DA291A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Număr de situații în care s-a intervenit (dezagregate pe tipuri);</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30B9BA8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În limitele alocațiilor bugetare</w:t>
            </w:r>
          </w:p>
        </w:tc>
        <w:tc>
          <w:tcPr>
            <w:tcW w:w="1100" w:type="dxa"/>
            <w:vMerge w:val="restart"/>
            <w:tcBorders>
              <w:top w:val="nil"/>
              <w:left w:val="single" w:sz="4" w:space="0" w:color="auto"/>
              <w:bottom w:val="single" w:sz="4" w:space="0" w:color="auto"/>
              <w:right w:val="single" w:sz="4" w:space="0" w:color="auto"/>
            </w:tcBorders>
            <w:vAlign w:val="center"/>
            <w:hideMark/>
          </w:tcPr>
          <w:p w14:paraId="6034F214"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15" w:type="dxa"/>
            <w:vMerge w:val="restart"/>
            <w:tcBorders>
              <w:top w:val="single" w:sz="4" w:space="0" w:color="auto"/>
              <w:left w:val="single" w:sz="4" w:space="0" w:color="auto"/>
              <w:bottom w:val="single" w:sz="4" w:space="0" w:color="auto"/>
              <w:right w:val="single" w:sz="4" w:space="0" w:color="auto"/>
            </w:tcBorders>
            <w:vAlign w:val="center"/>
            <w:hideMark/>
          </w:tcPr>
          <w:p w14:paraId="6A37D5D6"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922" w:type="dxa"/>
            <w:vMerge w:val="restart"/>
            <w:tcBorders>
              <w:top w:val="nil"/>
              <w:left w:val="single" w:sz="4" w:space="0" w:color="auto"/>
              <w:bottom w:val="single" w:sz="4" w:space="0" w:color="auto"/>
              <w:right w:val="single" w:sz="4" w:space="0" w:color="auto"/>
            </w:tcBorders>
            <w:vAlign w:val="center"/>
            <w:hideMark/>
          </w:tcPr>
          <w:p w14:paraId="7B13542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182" w:type="dxa"/>
            <w:vMerge w:val="restart"/>
            <w:tcBorders>
              <w:top w:val="nil"/>
              <w:left w:val="single" w:sz="4" w:space="0" w:color="auto"/>
              <w:bottom w:val="single" w:sz="4" w:space="0" w:color="000000"/>
              <w:right w:val="single" w:sz="4" w:space="0" w:color="auto"/>
            </w:tcBorders>
            <w:vAlign w:val="center"/>
            <w:hideMark/>
          </w:tcPr>
          <w:p w14:paraId="2F9014BD"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3504</w:t>
            </w:r>
          </w:p>
        </w:tc>
        <w:tc>
          <w:tcPr>
            <w:tcW w:w="1000" w:type="dxa"/>
            <w:vMerge w:val="restart"/>
            <w:tcBorders>
              <w:top w:val="nil"/>
              <w:left w:val="single" w:sz="4" w:space="0" w:color="auto"/>
              <w:bottom w:val="single" w:sz="4" w:space="0" w:color="auto"/>
              <w:right w:val="single" w:sz="4" w:space="0" w:color="auto"/>
            </w:tcBorders>
            <w:vAlign w:val="center"/>
            <w:hideMark/>
          </w:tcPr>
          <w:p w14:paraId="457875E5"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394FA6DC"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3FC12980"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061FCB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00" w:type="dxa"/>
            <w:vMerge w:val="restart"/>
            <w:tcBorders>
              <w:top w:val="nil"/>
              <w:left w:val="single" w:sz="4" w:space="0" w:color="auto"/>
              <w:bottom w:val="single" w:sz="4" w:space="0" w:color="auto"/>
              <w:right w:val="single" w:sz="4" w:space="0" w:color="auto"/>
            </w:tcBorders>
            <w:vAlign w:val="center"/>
            <w:hideMark/>
          </w:tcPr>
          <w:p w14:paraId="7A2839C3"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 </w:t>
            </w:r>
          </w:p>
        </w:tc>
        <w:tc>
          <w:tcPr>
            <w:tcW w:w="1082" w:type="dxa"/>
            <w:vMerge w:val="restart"/>
            <w:tcBorders>
              <w:top w:val="nil"/>
              <w:left w:val="single" w:sz="4" w:space="0" w:color="auto"/>
              <w:bottom w:val="single" w:sz="4" w:space="0" w:color="auto"/>
              <w:right w:val="single" w:sz="4" w:space="0" w:color="auto"/>
            </w:tcBorders>
            <w:vAlign w:val="center"/>
            <w:hideMark/>
          </w:tcPr>
          <w:p w14:paraId="743CECD7"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Trimestrul IV, 2030</w:t>
            </w:r>
          </w:p>
        </w:tc>
        <w:tc>
          <w:tcPr>
            <w:tcW w:w="1162" w:type="dxa"/>
            <w:vMerge w:val="restart"/>
            <w:tcBorders>
              <w:top w:val="nil"/>
              <w:left w:val="single" w:sz="4" w:space="0" w:color="auto"/>
              <w:bottom w:val="single" w:sz="4" w:space="0" w:color="auto"/>
              <w:right w:val="single" w:sz="4" w:space="0" w:color="auto"/>
            </w:tcBorders>
            <w:vAlign w:val="center"/>
            <w:hideMark/>
          </w:tcPr>
          <w:p w14:paraId="6056EFCF"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Ministerul Afacerilor Interne</w:t>
            </w:r>
          </w:p>
        </w:tc>
      </w:tr>
      <w:tr w:rsidR="00CB1061" w:rsidRPr="000C6E07" w14:paraId="4099023E" w14:textId="77777777" w:rsidTr="004356CF">
        <w:trPr>
          <w:trHeight w:val="780"/>
        </w:trPr>
        <w:tc>
          <w:tcPr>
            <w:tcW w:w="568" w:type="dxa"/>
            <w:vMerge/>
            <w:tcBorders>
              <w:top w:val="nil"/>
              <w:left w:val="single" w:sz="4" w:space="0" w:color="auto"/>
              <w:bottom w:val="single" w:sz="4" w:space="0" w:color="auto"/>
              <w:right w:val="single" w:sz="4" w:space="0" w:color="auto"/>
            </w:tcBorders>
            <w:hideMark/>
          </w:tcPr>
          <w:p w14:paraId="25EBC055" w14:textId="77777777" w:rsidR="00CB1061" w:rsidRPr="000C6E07" w:rsidRDefault="00CB1061" w:rsidP="00CB1061">
            <w:pPr>
              <w:pStyle w:val="af9"/>
              <w:numPr>
                <w:ilvl w:val="0"/>
                <w:numId w:val="15"/>
              </w:numPr>
              <w:spacing w:after="0"/>
              <w:ind w:left="464"/>
              <w:rPr>
                <w:rFonts w:eastAsia="Times New Roman" w:cs="Times New Roman"/>
                <w:color w:val="000000"/>
                <w:sz w:val="20"/>
                <w:szCs w:val="20"/>
                <w:lang w:val="ro-RO"/>
                <w14:ligatures w14:val="none"/>
              </w:rPr>
            </w:pPr>
          </w:p>
        </w:tc>
        <w:tc>
          <w:tcPr>
            <w:tcW w:w="1417" w:type="dxa"/>
            <w:vMerge/>
            <w:tcBorders>
              <w:top w:val="nil"/>
              <w:left w:val="single" w:sz="4" w:space="0" w:color="auto"/>
              <w:bottom w:val="single" w:sz="4" w:space="0" w:color="auto"/>
              <w:right w:val="single" w:sz="4" w:space="0" w:color="auto"/>
            </w:tcBorders>
            <w:vAlign w:val="center"/>
            <w:hideMark/>
          </w:tcPr>
          <w:p w14:paraId="603E56DE"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843" w:type="dxa"/>
            <w:tcBorders>
              <w:top w:val="nil"/>
              <w:left w:val="nil"/>
              <w:bottom w:val="single" w:sz="4" w:space="0" w:color="auto"/>
              <w:right w:val="single" w:sz="4" w:space="0" w:color="auto"/>
            </w:tcBorders>
            <w:vAlign w:val="center"/>
            <w:hideMark/>
          </w:tcPr>
          <w:p w14:paraId="52977942" w14:textId="77777777" w:rsidR="00CB1061" w:rsidRPr="000C6E07" w:rsidRDefault="00CB1061" w:rsidP="00CB1061">
            <w:pPr>
              <w:spacing w:after="0"/>
              <w:jc w:val="center"/>
              <w:rPr>
                <w:rFonts w:eastAsia="Times New Roman" w:cs="Times New Roman"/>
                <w:color w:val="000000"/>
                <w:sz w:val="20"/>
                <w:szCs w:val="20"/>
                <w:lang w:val="ro-RO"/>
                <w14:ligatures w14:val="none"/>
              </w:rPr>
            </w:pPr>
            <w:r w:rsidRPr="000C6E07">
              <w:rPr>
                <w:rFonts w:eastAsia="Times New Roman" w:cs="Times New Roman"/>
                <w:color w:val="000000"/>
                <w:sz w:val="20"/>
                <w:szCs w:val="20"/>
                <w:lang w:val="ro-RO"/>
                <w14:ligatures w14:val="none"/>
              </w:rPr>
              <w:t>rată a situațiilor finalizate pozitiv doar prin instrumente de dialog</w:t>
            </w: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813C76C"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00" w:type="dxa"/>
            <w:vMerge/>
            <w:tcBorders>
              <w:top w:val="nil"/>
              <w:left w:val="single" w:sz="4" w:space="0" w:color="auto"/>
              <w:bottom w:val="single" w:sz="4" w:space="0" w:color="auto"/>
              <w:right w:val="single" w:sz="4" w:space="0" w:color="auto"/>
            </w:tcBorders>
            <w:vAlign w:val="center"/>
            <w:hideMark/>
          </w:tcPr>
          <w:p w14:paraId="49D64A0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15" w:type="dxa"/>
            <w:vMerge/>
            <w:tcBorders>
              <w:top w:val="single" w:sz="4" w:space="0" w:color="auto"/>
              <w:left w:val="single" w:sz="4" w:space="0" w:color="auto"/>
              <w:bottom w:val="single" w:sz="4" w:space="0" w:color="auto"/>
              <w:right w:val="single" w:sz="4" w:space="0" w:color="auto"/>
            </w:tcBorders>
            <w:vAlign w:val="center"/>
            <w:hideMark/>
          </w:tcPr>
          <w:p w14:paraId="3CE2FFE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922" w:type="dxa"/>
            <w:vMerge/>
            <w:tcBorders>
              <w:top w:val="nil"/>
              <w:left w:val="single" w:sz="4" w:space="0" w:color="auto"/>
              <w:bottom w:val="single" w:sz="4" w:space="0" w:color="auto"/>
              <w:right w:val="single" w:sz="4" w:space="0" w:color="auto"/>
            </w:tcBorders>
            <w:vAlign w:val="center"/>
            <w:hideMark/>
          </w:tcPr>
          <w:p w14:paraId="6B802971"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82" w:type="dxa"/>
            <w:vMerge/>
            <w:tcBorders>
              <w:top w:val="nil"/>
              <w:left w:val="single" w:sz="4" w:space="0" w:color="auto"/>
              <w:bottom w:val="single" w:sz="4" w:space="0" w:color="000000"/>
              <w:right w:val="single" w:sz="4" w:space="0" w:color="auto"/>
            </w:tcBorders>
            <w:vAlign w:val="center"/>
            <w:hideMark/>
          </w:tcPr>
          <w:p w14:paraId="2EC2BCCD"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7FD1DBE9"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30EE78E0"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479FED56"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5D60CC6A"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00" w:type="dxa"/>
            <w:vMerge/>
            <w:tcBorders>
              <w:top w:val="nil"/>
              <w:left w:val="single" w:sz="4" w:space="0" w:color="auto"/>
              <w:bottom w:val="single" w:sz="4" w:space="0" w:color="auto"/>
              <w:right w:val="single" w:sz="4" w:space="0" w:color="auto"/>
            </w:tcBorders>
            <w:vAlign w:val="center"/>
            <w:hideMark/>
          </w:tcPr>
          <w:p w14:paraId="658EE5FB"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082" w:type="dxa"/>
            <w:vMerge/>
            <w:tcBorders>
              <w:top w:val="nil"/>
              <w:left w:val="single" w:sz="4" w:space="0" w:color="auto"/>
              <w:bottom w:val="single" w:sz="4" w:space="0" w:color="auto"/>
              <w:right w:val="single" w:sz="4" w:space="0" w:color="auto"/>
            </w:tcBorders>
            <w:vAlign w:val="center"/>
            <w:hideMark/>
          </w:tcPr>
          <w:p w14:paraId="3619C878" w14:textId="77777777" w:rsidR="00CB1061" w:rsidRPr="000C6E07" w:rsidRDefault="00CB1061" w:rsidP="00CB1061">
            <w:pPr>
              <w:spacing w:after="0"/>
              <w:rPr>
                <w:rFonts w:eastAsia="Times New Roman" w:cs="Times New Roman"/>
                <w:color w:val="000000"/>
                <w:sz w:val="20"/>
                <w:szCs w:val="20"/>
                <w:lang w:val="ro-RO"/>
                <w14:ligatures w14:val="none"/>
              </w:rPr>
            </w:pPr>
          </w:p>
        </w:tc>
        <w:tc>
          <w:tcPr>
            <w:tcW w:w="1162" w:type="dxa"/>
            <w:vMerge/>
            <w:tcBorders>
              <w:top w:val="nil"/>
              <w:left w:val="single" w:sz="4" w:space="0" w:color="auto"/>
              <w:bottom w:val="single" w:sz="4" w:space="0" w:color="auto"/>
              <w:right w:val="single" w:sz="4" w:space="0" w:color="auto"/>
            </w:tcBorders>
            <w:vAlign w:val="center"/>
            <w:hideMark/>
          </w:tcPr>
          <w:p w14:paraId="162C67DB" w14:textId="77777777" w:rsidR="00CB1061" w:rsidRPr="000C6E07" w:rsidRDefault="00CB1061" w:rsidP="00CB1061">
            <w:pPr>
              <w:spacing w:after="0"/>
              <w:rPr>
                <w:rFonts w:eastAsia="Times New Roman" w:cs="Times New Roman"/>
                <w:color w:val="000000"/>
                <w:sz w:val="20"/>
                <w:szCs w:val="20"/>
                <w:lang w:val="ro-RO"/>
                <w14:ligatures w14:val="none"/>
              </w:rPr>
            </w:pPr>
          </w:p>
        </w:tc>
      </w:tr>
    </w:tbl>
    <w:p w14:paraId="31F6D228" w14:textId="7492C117" w:rsidR="003C05FF" w:rsidRPr="00F34E3D" w:rsidRDefault="003C05FF" w:rsidP="00F34E3D">
      <w:pPr>
        <w:spacing w:after="0"/>
        <w:jc w:val="both"/>
        <w:rPr>
          <w:color w:val="EE0000"/>
          <w:lang w:val="ro-RO"/>
        </w:rPr>
      </w:pPr>
    </w:p>
    <w:sectPr w:rsidR="003C05FF" w:rsidRPr="00F34E3D">
      <w:pgSz w:w="16838" w:h="11906" w:orient="landscape"/>
      <w:pgMar w:top="851" w:right="567" w:bottom="851" w:left="567"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rian Ciobanu" w:date="2025-06-10T09:23:00Z" w:initials="AC">
    <w:p w14:paraId="00000001" w14:textId="00000001">
      <w:pPr>
        <w:spacing w:line="240" w:after="0" w:lineRule="auto" w:before="0"/>
        <w:ind w:firstLine="0" w:left="0" w:right="0"/>
        <w:jc w:val="left"/>
      </w:pPr>
      <w:r>
        <w:rPr>
          <w:rFonts w:eastAsia="Arial" w:ascii="Arial" w:hAnsi="Arial" w:cs="Arial"/>
          <w:sz w:val="22"/>
        </w:rPr>
        <w:t xml:space="preserve">De reformulat actiunea si indicatorul.</w:t>
      </w:r>
    </w:p>
  </w:comment>
  <w:comment w:id="1" w:author="adrian.ciobanu (adrian.ciobanu@igsu.gov.md)" w:date="2025-06-10T09:17:00Z" w:initials="a(">
    <w:p w14:paraId="00000002" w14:textId="00000002">
      <w:pPr>
        <w:spacing w:line="240" w:after="0" w:lineRule="auto" w:before="0"/>
        <w:ind w:firstLine="0" w:left="0" w:right="0"/>
        <w:jc w:val="left"/>
      </w:pPr>
      <w:r>
        <w:rPr>
          <w:rFonts w:eastAsia="Arial" w:ascii="Arial" w:hAnsi="Arial" w:cs="Arial"/>
          <w:sz w:val="22"/>
        </w:rPr>
        <w:t xml:space="preserve">De reformulat acțiunea:</w:t>
      </w:r>
    </w:p>
    <w:p w14:paraId="00000003" w14:textId="00000003">
      <w:pPr>
        <w:spacing w:line="240" w:after="0" w:lineRule="auto" w:before="0"/>
        <w:ind w:firstLine="0" w:left="0" w:right="0"/>
        <w:jc w:val="left"/>
      </w:pPr>
      <w:r>
        <w:rPr>
          <w:rFonts w:eastAsia="Arial" w:ascii="Arial" w:hAnsi="Arial" w:cs="Arial"/>
          <w:sz w:val="22"/>
        </w:rPr>
        <w:t xml:space="preserve">“Introducerea în curricula disciplinelor de studiu privind situațiile de risc (riscurile situațiilor de urgență/excepționale)”. </w:t>
      </w:r>
    </w:p>
    <w:p w14:paraId="00000004" w14:textId="00000004">
      <w:pPr>
        <w:spacing w:line="240" w:after="0" w:lineRule="auto" w:before="0"/>
        <w:ind w:firstLine="0" w:left="0" w:right="0"/>
        <w:jc w:val="left"/>
      </w:pPr>
      <w:r>
        <w:rPr>
          <w:rFonts w:eastAsia="Arial" w:ascii="Arial" w:hAnsi="Arial" w:cs="Arial"/>
          <w:sz w:val="22"/>
        </w:rPr>
        <w:t xml:space="preserve"/>
      </w:r>
    </w:p>
    <w:p w14:paraId="00000005" w14:textId="00000005">
      <w:pPr>
        <w:spacing w:line="240" w:after="0" w:lineRule="auto" w:before="0"/>
        <w:ind w:firstLine="0" w:left="0" w:right="0"/>
        <w:jc w:val="left"/>
      </w:pPr>
      <w:r>
        <w:rPr>
          <w:rFonts w:eastAsia="Arial" w:ascii="Arial" w:hAnsi="Arial" w:cs="Arial"/>
          <w:sz w:val="22"/>
        </w:rPr>
        <w:t xml:space="preserve">La fel de reformulate indicatorii.</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5"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39C2260" w16cex:dateUtc="2025-06-10T06:23:00Z"/>
  <w16cex:commentExtensible w16cex:durableId="688D523B" w16cex:dateUtc="2025-06-10T06:17: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639C2260"/>
  <w16cid:commentId w16cid:paraId="00000005" w16cid:durableId="688D52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F228" w14:textId="77777777" w:rsidR="00E74E77" w:rsidRDefault="00E74E77">
      <w:pPr>
        <w:spacing w:after="0"/>
      </w:pPr>
      <w:r>
        <w:separator/>
      </w:r>
    </w:p>
  </w:endnote>
  <w:endnote w:type="continuationSeparator" w:id="0">
    <w:p w14:paraId="3BCBD7F6" w14:textId="77777777" w:rsidR="00E74E77" w:rsidRDefault="00E74E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_MonitorOficial">
    <w:altName w:val="Arial"/>
    <w:charset w:val="CC"/>
    <w:family w:val="swiss"/>
    <w:pitch w:val="variable"/>
    <w:sig w:usb0="00000000" w:usb1="00000000" w:usb2="00000000" w:usb3="00000000" w:csb0="000001AF" w:csb1="00000000"/>
  </w:font>
  <w:font w:name="Myriad Pro">
    <w:altName w:val="Segoe U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386396"/>
      <w:docPartObj>
        <w:docPartGallery w:val="Page Numbers (Bottom of Page)"/>
        <w:docPartUnique/>
      </w:docPartObj>
    </w:sdtPr>
    <w:sdtEndPr>
      <w:rPr>
        <w:noProof/>
      </w:rPr>
    </w:sdtEndPr>
    <w:sdtContent>
      <w:p w14:paraId="295926E0" w14:textId="3A2BDAB6" w:rsidR="006A2852" w:rsidRDefault="006A2852">
        <w:pPr>
          <w:pStyle w:val="ab"/>
          <w:jc w:val="right"/>
        </w:pPr>
        <w:r>
          <w:fldChar w:fldCharType="begin"/>
        </w:r>
        <w:r>
          <w:instrText xml:space="preserve"> PAGE   \* MERGEFORMAT </w:instrText>
        </w:r>
        <w:r>
          <w:fldChar w:fldCharType="separate"/>
        </w:r>
        <w:r w:rsidR="001B6D23">
          <w:rPr>
            <w:noProof/>
          </w:rPr>
          <w:t>38</w:t>
        </w:r>
        <w:r>
          <w:rPr>
            <w:noProof/>
          </w:rPr>
          <w:fldChar w:fldCharType="end"/>
        </w:r>
      </w:p>
    </w:sdtContent>
  </w:sdt>
  <w:p w14:paraId="596E6FF9" w14:textId="77777777" w:rsidR="006A2852" w:rsidRDefault="006A28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36E3" w14:textId="77777777" w:rsidR="00E74E77" w:rsidRDefault="00E74E77">
      <w:pPr>
        <w:spacing w:after="0"/>
      </w:pPr>
      <w:r>
        <w:separator/>
      </w:r>
    </w:p>
  </w:footnote>
  <w:footnote w:type="continuationSeparator" w:id="0">
    <w:p w14:paraId="340E7B46" w14:textId="77777777" w:rsidR="00E74E77" w:rsidRDefault="00E74E77">
      <w:pPr>
        <w:spacing w:after="0"/>
      </w:pPr>
      <w:r>
        <w:continuationSeparator/>
      </w:r>
    </w:p>
  </w:footnote>
  <w:footnote w:id="1">
    <w:p w14:paraId="6767111D"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Institutul de Politici Publice, Barometrul Opiniei Publice, iunie 2024, </w:t>
      </w:r>
      <w:hyperlink r:id="rId1" w:history="1">
        <w:r w:rsidRPr="003679EA">
          <w:rPr>
            <w:rStyle w:val="af1"/>
            <w:rFonts w:ascii="Times New Roman" w:hAnsi="Times New Roman"/>
            <w:lang w:val="ro-RO"/>
          </w:rPr>
          <w:t>https://ipp.md/wp-content/uploads/2024/10/Raport-final-BOP-2024.pdf</w:t>
        </w:r>
      </w:hyperlink>
      <w:r w:rsidRPr="003679EA">
        <w:rPr>
          <w:rFonts w:ascii="Times New Roman" w:hAnsi="Times New Roman"/>
          <w:lang w:val="ro-RO"/>
        </w:rPr>
        <w:t xml:space="preserve"> </w:t>
      </w:r>
    </w:p>
  </w:footnote>
  <w:footnote w:id="2">
    <w:p w14:paraId="7808722E"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CPD, Moldova Inegală, 2025 </w:t>
      </w:r>
      <w:hyperlink r:id="rId2" w:history="1">
        <w:r w:rsidRPr="003679EA">
          <w:rPr>
            <w:rStyle w:val="af1"/>
            <w:rFonts w:ascii="Times New Roman" w:hAnsi="Times New Roman"/>
            <w:lang w:val="ro-RO"/>
          </w:rPr>
          <w:t>https://progen.md/wp-content/uploads/2025/05/CPD_Raport-Moldova-Inegala_2025-2.pdf</w:t>
        </w:r>
      </w:hyperlink>
      <w:r w:rsidRPr="003679EA">
        <w:rPr>
          <w:rFonts w:ascii="Times New Roman" w:hAnsi="Times New Roman"/>
          <w:lang w:val="ro-RO"/>
        </w:rPr>
        <w:t xml:space="preserve"> </w:t>
      </w:r>
    </w:p>
  </w:footnote>
  <w:footnote w:id="3">
    <w:p w14:paraId="77113715" w14:textId="77777777" w:rsidR="006A2852" w:rsidRPr="003679EA" w:rsidRDefault="006A2852" w:rsidP="000C6E07">
      <w:pPr>
        <w:pStyle w:val="aff1"/>
        <w:rPr>
          <w:rFonts w:ascii="Times New Roman" w:hAnsi="Times New Roman"/>
          <w:lang w:val="ro-RO"/>
        </w:rPr>
      </w:pPr>
      <w:r w:rsidRPr="003679EA">
        <w:rPr>
          <w:rFonts w:ascii="Times New Roman" w:hAnsi="Times New Roman"/>
          <w:lang w:val="ro-RO"/>
        </w:rPr>
        <w:footnoteRef/>
      </w:r>
      <w:r w:rsidRPr="003679EA">
        <w:rPr>
          <w:rFonts w:ascii="Times New Roman" w:hAnsi="Times New Roman"/>
          <w:lang w:val="ro-RO"/>
        </w:rPr>
        <w:t xml:space="preserve"> Biroul Național de Statistică; Nivelul infracționalității în Republica Moldova în anul 2024, 2025</w:t>
      </w:r>
    </w:p>
    <w:p w14:paraId="6A7B21E1" w14:textId="77777777" w:rsidR="006A2852" w:rsidRPr="003679EA" w:rsidRDefault="006A2852" w:rsidP="000C6E07">
      <w:pPr>
        <w:pStyle w:val="aff1"/>
        <w:rPr>
          <w:rFonts w:ascii="Times New Roman" w:hAnsi="Times New Roman"/>
          <w:lang w:val="ro-RO"/>
        </w:rPr>
      </w:pPr>
      <w:r w:rsidRPr="003679EA">
        <w:rPr>
          <w:rFonts w:ascii="Times New Roman" w:hAnsi="Times New Roman"/>
          <w:lang w:val="ro-RO"/>
        </w:rPr>
        <w:t xml:space="preserve"> </w:t>
      </w:r>
      <w:hyperlink r:id="rId3" w:history="1">
        <w:r w:rsidRPr="003679EA">
          <w:rPr>
            <w:rStyle w:val="af1"/>
            <w:rFonts w:ascii="Times New Roman" w:hAnsi="Times New Roman"/>
            <w:lang w:val="ro-RO"/>
          </w:rPr>
          <w:t>https://statistica.gov.md/ro/nivelul-infractionalitatii-in-republica-moldova-in-anul-2024-9478_61676.html</w:t>
        </w:r>
      </w:hyperlink>
      <w:r w:rsidRPr="003679EA">
        <w:rPr>
          <w:rFonts w:ascii="Times New Roman" w:hAnsi="Times New Roman"/>
          <w:lang w:val="ro-RO"/>
        </w:rPr>
        <w:t xml:space="preserve"> </w:t>
      </w:r>
    </w:p>
  </w:footnote>
  <w:footnote w:id="4">
    <w:p w14:paraId="10CF9B51"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IGP, Fenomenul violenței în familie pe parcursul a XII luni ale anului 2024, </w:t>
      </w:r>
      <w:hyperlink r:id="rId4" w:history="1">
        <w:r w:rsidRPr="003679EA">
          <w:rPr>
            <w:rStyle w:val="af1"/>
            <w:rFonts w:ascii="Times New Roman" w:hAnsi="Times New Roman"/>
            <w:lang w:val="ro-RO"/>
          </w:rPr>
          <w:t>https://politia.md/sites/default/files/scvd_nota_12_luni_2024_8.pdf</w:t>
        </w:r>
      </w:hyperlink>
      <w:r w:rsidRPr="003679EA">
        <w:rPr>
          <w:rFonts w:ascii="Times New Roman" w:hAnsi="Times New Roman"/>
          <w:lang w:val="ro-RO"/>
        </w:rPr>
        <w:t xml:space="preserve"> </w:t>
      </w:r>
    </w:p>
  </w:footnote>
  <w:footnote w:id="5">
    <w:p w14:paraId="07863F75"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Dezvăluirea părții ascunse a aisbergului, Violența psihologică în Republica Moldova și România </w:t>
      </w:r>
      <w:hyperlink r:id="rId5" w:history="1">
        <w:r w:rsidRPr="003679EA">
          <w:rPr>
            <w:rStyle w:val="af1"/>
            <w:rFonts w:ascii="Times New Roman" w:hAnsi="Times New Roman"/>
            <w:lang w:val="ro-RO"/>
          </w:rPr>
          <w:t>https://sdvmd.net/wp-content/uploads/2025/03/report-violence_ro.pdf</w:t>
        </w:r>
      </w:hyperlink>
      <w:r w:rsidRPr="003679EA">
        <w:rPr>
          <w:rFonts w:ascii="Times New Roman" w:hAnsi="Times New Roman"/>
          <w:lang w:val="ro-RO"/>
        </w:rPr>
        <w:t xml:space="preserve"> </w:t>
      </w:r>
    </w:p>
  </w:footnote>
  <w:footnote w:id="6">
    <w:p w14:paraId="443D147D"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MEC, Raport generalizat privind cazurile de violență asupra copilului Semestrul I, anul de studii 2023-2024 </w:t>
      </w:r>
      <w:hyperlink r:id="rId6" w:history="1">
        <w:r w:rsidRPr="003679EA">
          <w:rPr>
            <w:rStyle w:val="af1"/>
            <w:rFonts w:ascii="Times New Roman" w:hAnsi="Times New Roman"/>
            <w:lang w:val="ro-RO"/>
          </w:rPr>
          <w:t>https://mec.gov.md/sites/default/files/raport_mec_anet_sem_i_2023_2024.pdf</w:t>
        </w:r>
      </w:hyperlink>
      <w:r w:rsidRPr="003679EA">
        <w:rPr>
          <w:rFonts w:ascii="Times New Roman" w:hAnsi="Times New Roman"/>
          <w:lang w:val="ro-RO"/>
        </w:rPr>
        <w:t xml:space="preserve"> </w:t>
      </w:r>
    </w:p>
  </w:footnote>
  <w:footnote w:id="7">
    <w:p w14:paraId="7647E6F5"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7" w:history="1">
        <w:r w:rsidRPr="003679EA">
          <w:rPr>
            <w:rStyle w:val="af1"/>
            <w:rFonts w:ascii="Times New Roman" w:hAnsi="Times New Roman"/>
            <w:lang w:val="ro-RO"/>
          </w:rPr>
          <w:t>https://www.moldpres.md/rom/societate/1-200-de-cazuri-de-bullying-inregistrate-in-2024-15-din-cazurile-de-abuz-raportate-in-scoli?utm_source=chatgpt.com</w:t>
        </w:r>
      </w:hyperlink>
      <w:r w:rsidRPr="003679EA">
        <w:rPr>
          <w:rFonts w:ascii="Times New Roman" w:hAnsi="Times New Roman"/>
          <w:lang w:val="ro-RO"/>
        </w:rPr>
        <w:t xml:space="preserve"> </w:t>
      </w:r>
    </w:p>
  </w:footnote>
  <w:footnote w:id="8">
    <w:p w14:paraId="3F744641" w14:textId="77777777" w:rsidR="006A2852" w:rsidRPr="003679EA" w:rsidRDefault="006A2852" w:rsidP="000C6E07">
      <w:pPr>
        <w:pStyle w:val="aff1"/>
        <w:rPr>
          <w:rFonts w:ascii="Times New Roman" w:hAnsi="Times New Roman"/>
          <w:b/>
          <w:bCs/>
          <w:lang w:val="ro-RO"/>
        </w:rPr>
      </w:pPr>
      <w:r w:rsidRPr="003679EA">
        <w:rPr>
          <w:rFonts w:ascii="Times New Roman" w:hAnsi="Times New Roman"/>
          <w:lang w:val="ro-RO"/>
        </w:rPr>
        <w:footnoteRef/>
      </w:r>
      <w:r w:rsidRPr="003679EA">
        <w:rPr>
          <w:rFonts w:ascii="Times New Roman" w:hAnsi="Times New Roman"/>
          <w:vertAlign w:val="superscript"/>
          <w:lang w:val="ro-RO"/>
        </w:rPr>
        <w:t xml:space="preserve"> </w:t>
      </w:r>
      <w:r w:rsidRPr="003679EA">
        <w:rPr>
          <w:rFonts w:ascii="Times New Roman" w:hAnsi="Times New Roman"/>
          <w:lang w:val="ro-RO"/>
        </w:rPr>
        <w:t xml:space="preserve">„Cunoștințe, atitudini, practici în prevenirea și combaterea fenomenului de bullying în școlile din Republica Moldova” </w:t>
      </w:r>
      <w:hyperlink r:id="rId8" w:history="1">
        <w:r w:rsidRPr="003679EA">
          <w:rPr>
            <w:rStyle w:val="af1"/>
            <w:rFonts w:ascii="Times New Roman" w:hAnsi="Times New Roman"/>
            <w:lang w:val="ro-RO"/>
          </w:rPr>
          <w:t>http://aliantacf.md/wp-content/uploads/2023/06/Raport-KAP-Bullying_ajustare-finala%CC%86_20.08.23.docx</w:t>
        </w:r>
      </w:hyperlink>
      <w:r w:rsidRPr="003679EA">
        <w:rPr>
          <w:rFonts w:ascii="Times New Roman" w:hAnsi="Times New Roman"/>
          <w:lang w:val="ro-RO"/>
        </w:rPr>
        <w:t xml:space="preserve"> </w:t>
      </w:r>
    </w:p>
    <w:p w14:paraId="6AB81230" w14:textId="77777777" w:rsidR="006A2852" w:rsidRPr="003679EA" w:rsidRDefault="006A2852" w:rsidP="000C6E07">
      <w:pPr>
        <w:pStyle w:val="aff1"/>
        <w:rPr>
          <w:rFonts w:ascii="Times New Roman" w:hAnsi="Times New Roman"/>
          <w:lang w:val="ro-RO"/>
        </w:rPr>
      </w:pPr>
    </w:p>
  </w:footnote>
  <w:footnote w:id="9">
    <w:p w14:paraId="329EAED4"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UNDP, Studiu privind Accesul la justiție în Republica Moldova, 2024, </w:t>
      </w:r>
      <w:hyperlink r:id="rId9" w:history="1">
        <w:r w:rsidRPr="003679EA">
          <w:rPr>
            <w:rStyle w:val="af1"/>
            <w:rFonts w:ascii="Times New Roman" w:hAnsi="Times New Roman"/>
            <w:lang w:val="ro-RO"/>
          </w:rPr>
          <w:t>Studiu privind accesul la justiție în Republica Moldova | United Nations Development Programme</w:t>
        </w:r>
      </w:hyperlink>
    </w:p>
  </w:footnote>
  <w:footnote w:id="10">
    <w:p w14:paraId="0CA5CA5E"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Sursa: Nota informațional-analitică „Capacitatea de reacție la apelurile de urgență 112” (2019-2024) nr.34/58-303 int. din 17.01.2025</w:t>
      </w:r>
    </w:p>
  </w:footnote>
  <w:footnote w:id="11">
    <w:p w14:paraId="4F513956"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Sursa : Nota informațional-analitică a IGP„Capacitatea de reacție la apelurile de urgență 112” (2019-2024)  nr.34/58-303 int. din 17.01.2025</w:t>
      </w:r>
    </w:p>
    <w:p w14:paraId="7A117321" w14:textId="77777777" w:rsidR="006A2852" w:rsidRPr="003679EA" w:rsidRDefault="006A2852" w:rsidP="000C6E07">
      <w:pPr>
        <w:pStyle w:val="aff1"/>
        <w:rPr>
          <w:rFonts w:ascii="Times New Roman" w:hAnsi="Times New Roman"/>
          <w:lang w:val="ro-RO"/>
        </w:rPr>
      </w:pPr>
    </w:p>
  </w:footnote>
  <w:footnote w:id="12">
    <w:p w14:paraId="7DCB4132" w14:textId="77777777" w:rsidR="00D204BF" w:rsidRPr="00D204BF" w:rsidRDefault="00D204BF" w:rsidP="00D204BF">
      <w:pPr>
        <w:pStyle w:val="aff1"/>
        <w:rPr>
          <w:lang w:val="ro-RO"/>
        </w:rPr>
      </w:pPr>
      <w:r>
        <w:rPr>
          <w:rStyle w:val="aff3"/>
        </w:rPr>
        <w:footnoteRef/>
      </w:r>
      <w:r>
        <w:t xml:space="preserve"> </w:t>
      </w:r>
      <w:hyperlink r:id="rId10" w:history="1">
        <w:r w:rsidRPr="00D204BF">
          <w:rPr>
            <w:rStyle w:val="af1"/>
            <w:lang w:val="ro-RO"/>
          </w:rPr>
          <w:t>https://ombudsman.md/post-document/opinie-la-proiectul-de-lege-pentru-modificarea-legii-nr-320-2012-cu-privire-la-activitatea-politiei-si-statutului-politistului-regionalizarea-politiei-nr-1029-mai-2024/</w:t>
        </w:r>
      </w:hyperlink>
      <w:r w:rsidRPr="00D204BF">
        <w:rPr>
          <w:lang w:val="ro-RO"/>
        </w:rPr>
        <w:t xml:space="preserve"> </w:t>
      </w:r>
    </w:p>
    <w:p w14:paraId="3C0D18F1" w14:textId="79910FAD" w:rsidR="00D204BF" w:rsidRPr="00D204BF" w:rsidRDefault="00D204BF">
      <w:pPr>
        <w:pStyle w:val="aff1"/>
        <w:rPr>
          <w:lang w:val="ro-RO"/>
        </w:rPr>
      </w:pPr>
    </w:p>
  </w:footnote>
  <w:footnote w:id="13">
    <w:p w14:paraId="1D456AD5"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CPR Moldova, Promo-LEX,  Raport Libertatea întrunirilor 2024, 2025 </w:t>
      </w:r>
      <w:hyperlink r:id="rId11" w:history="1">
        <w:r w:rsidRPr="003679EA">
          <w:rPr>
            <w:rStyle w:val="af1"/>
            <w:rFonts w:ascii="Times New Roman" w:hAnsi="Times New Roman"/>
            <w:lang w:val="ro-RO"/>
          </w:rPr>
          <w:t>https://promolex.md/wp-content/uploads/2025/04/raport-intruniri-2024.pdf</w:t>
        </w:r>
      </w:hyperlink>
      <w:r w:rsidRPr="003679EA">
        <w:rPr>
          <w:rFonts w:ascii="Times New Roman" w:hAnsi="Times New Roman"/>
          <w:lang w:val="ro-RO"/>
        </w:rPr>
        <w:t xml:space="preserve"> </w:t>
      </w:r>
    </w:p>
  </w:footnote>
  <w:footnote w:id="14">
    <w:p w14:paraId="0B2040DA"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RAPORTUL ECRI PRIVIND REPUBLICA MOLDOVA (Al șaselea ciclu de monitorizare), 2024, </w:t>
      </w:r>
      <w:hyperlink r:id="rId12" w:history="1">
        <w:r w:rsidRPr="003679EA">
          <w:rPr>
            <w:rStyle w:val="af1"/>
            <w:rFonts w:ascii="Times New Roman" w:hAnsi="Times New Roman"/>
            <w:lang w:val="ro-RO"/>
          </w:rPr>
          <w:t>https://rm.coe.int/sixth-report-on-the-republic-of-moldova-translation-in-romanian-/1680b20f53</w:t>
        </w:r>
      </w:hyperlink>
      <w:r w:rsidRPr="003679EA">
        <w:rPr>
          <w:rFonts w:ascii="Times New Roman" w:hAnsi="Times New Roman"/>
          <w:lang w:val="ro-RO"/>
        </w:rPr>
        <w:t xml:space="preserve"> </w:t>
      </w:r>
    </w:p>
  </w:footnote>
  <w:footnote w:id="15">
    <w:p w14:paraId="6F64AC01"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CPR Moldova, Promo-LEX,  Raport Libertatea întrunirilor 2024, 2025 </w:t>
      </w:r>
      <w:hyperlink r:id="rId13" w:history="1">
        <w:r w:rsidRPr="003679EA">
          <w:rPr>
            <w:rStyle w:val="af1"/>
            <w:rFonts w:ascii="Times New Roman" w:hAnsi="Times New Roman"/>
            <w:lang w:val="ro-RO"/>
          </w:rPr>
          <w:t>https://promolex.md/wp-content/uploads/2025/04/raport-intruniri-2024.pdf</w:t>
        </w:r>
      </w:hyperlink>
      <w:r w:rsidRPr="003679EA">
        <w:rPr>
          <w:rFonts w:ascii="Times New Roman" w:hAnsi="Times New Roman"/>
          <w:lang w:val="ro-RO"/>
        </w:rPr>
        <w:t xml:space="preserve"> </w:t>
      </w:r>
    </w:p>
  </w:footnote>
  <w:footnote w:id="16">
    <w:p w14:paraId="0427A724"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Oficiul Avocatului Poporului, Raport anual privind respectarea drepturilor și libertăților omului în Republica Moldova în anul 2023 </w:t>
      </w:r>
      <w:hyperlink r:id="rId14" w:history="1">
        <w:r w:rsidRPr="003679EA">
          <w:rPr>
            <w:rStyle w:val="af1"/>
            <w:rFonts w:ascii="Times New Roman" w:hAnsi="Times New Roman"/>
            <w:lang w:val="ro-RO"/>
          </w:rPr>
          <w:t>https://ombudsman.md/post-document/raport-anual-privind-respectarea-drepturilor-si-libertatilor-omului-in-republica-moldova-in-anul-2023/</w:t>
        </w:r>
      </w:hyperlink>
      <w:r w:rsidRPr="003679EA">
        <w:rPr>
          <w:rFonts w:ascii="Times New Roman" w:hAnsi="Times New Roman"/>
          <w:lang w:val="ro-RO"/>
        </w:rPr>
        <w:t xml:space="preserve"> </w:t>
      </w:r>
    </w:p>
  </w:footnote>
  <w:footnote w:id="17">
    <w:p w14:paraId="0043BE77"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OSCE (ODIHR) Opinia-Nr.: FOPA-MDA/486/2023 </w:t>
      </w:r>
      <w:hyperlink r:id="rId15" w:history="1">
        <w:r w:rsidRPr="003679EA">
          <w:rPr>
            <w:rStyle w:val="af1"/>
            <w:rFonts w:ascii="Times New Roman" w:hAnsi="Times New Roman"/>
            <w:lang w:val="ro-RO"/>
          </w:rPr>
          <w:t>https://www.osce.org/files/f/documents/7/1/557856.pdf</w:t>
        </w:r>
      </w:hyperlink>
      <w:r w:rsidRPr="003679EA">
        <w:rPr>
          <w:rFonts w:ascii="Times New Roman" w:hAnsi="Times New Roman"/>
          <w:lang w:val="ro-RO"/>
        </w:rPr>
        <w:t xml:space="preserve"> </w:t>
      </w:r>
    </w:p>
  </w:footnote>
  <w:footnote w:id="18">
    <w:p w14:paraId="41EE790D" w14:textId="1A0096F5"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IGP, </w:t>
      </w:r>
      <w:r w:rsidRPr="003679EA">
        <w:rPr>
          <w:rFonts w:ascii="Times New Roman" w:hAnsi="Times New Roman"/>
          <w:lang w:val="ro-RO" w:eastAsia="ro-RO"/>
        </w:rPr>
        <w:t>Nota analitică „Amenințări și riscuri aferente zonei de securitate pentru anii 2023-2024” (34/58-3126/ 2025)</w:t>
      </w:r>
    </w:p>
  </w:footnote>
  <w:footnote w:id="19">
    <w:p w14:paraId="74A6CCCD" w14:textId="57183185"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IGP, </w:t>
      </w:r>
      <w:r w:rsidRPr="003679EA">
        <w:rPr>
          <w:rFonts w:ascii="Times New Roman" w:hAnsi="Times New Roman"/>
          <w:lang w:val="ro-RO" w:eastAsia="ro-RO"/>
        </w:rPr>
        <w:t>Nota analitică „Amenințări și riscuri aferente zonei de securitate pentru anii 2023-2024” (34/58-3126/2025)</w:t>
      </w:r>
    </w:p>
  </w:footnote>
  <w:footnote w:id="20">
    <w:p w14:paraId="3E0BBDF9" w14:textId="7E243F23"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IGP, </w:t>
      </w:r>
      <w:r w:rsidRPr="003679EA">
        <w:rPr>
          <w:rFonts w:ascii="Times New Roman" w:hAnsi="Times New Roman"/>
          <w:lang w:val="ro-RO" w:eastAsia="ro-RO"/>
        </w:rPr>
        <w:t>Nota analitică „Amenințări și riscuri aferente zonei de securitate pentru anii 2023-2024” (34/58-3126/2025)</w:t>
      </w:r>
    </w:p>
  </w:footnote>
  <w:footnote w:id="21">
    <w:p w14:paraId="6383C9B4"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UNDP, Studiu privind Accesul la justiție în Republica Moldova, 2024, </w:t>
      </w:r>
      <w:hyperlink r:id="rId16" w:history="1">
        <w:r w:rsidRPr="003679EA">
          <w:rPr>
            <w:rStyle w:val="af1"/>
            <w:rFonts w:ascii="Times New Roman" w:hAnsi="Times New Roman"/>
            <w:lang w:val="ro-RO"/>
          </w:rPr>
          <w:t>Studiu privind accesul la justiție în Republica Moldova | United Nations Development Programme</w:t>
        </w:r>
      </w:hyperlink>
    </w:p>
  </w:footnote>
  <w:footnote w:id="22">
    <w:p w14:paraId="51DDECD6"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IPRE, Sondajul național de opinie publică privind integritatea în sectorul justiției, 2024 </w:t>
      </w:r>
      <w:hyperlink r:id="rId17" w:history="1">
        <w:r w:rsidRPr="003679EA">
          <w:rPr>
            <w:rStyle w:val="af1"/>
            <w:rFonts w:ascii="Times New Roman" w:hAnsi="Times New Roman"/>
            <w:lang w:val="ro-RO"/>
          </w:rPr>
          <w:t>https://soros.md/wp-content/uploads/2024/02/Raport_Sondaj_Justitie4Moldova_05.02.2024_RO_Final.pdf</w:t>
        </w:r>
      </w:hyperlink>
      <w:r w:rsidRPr="003679EA">
        <w:rPr>
          <w:rFonts w:ascii="Times New Roman" w:hAnsi="Times New Roman"/>
          <w:lang w:val="ro-RO"/>
        </w:rPr>
        <w:t xml:space="preserve"> </w:t>
      </w:r>
    </w:p>
  </w:footnote>
  <w:footnote w:id="23">
    <w:p w14:paraId="49D39D8A"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r w:rsidRPr="003679EA">
        <w:rPr>
          <w:rFonts w:ascii="Times New Roman" w:hAnsi="Times New Roman"/>
          <w:color w:val="333333"/>
          <w:shd w:val="clear" w:color="auto" w:fill="FFFFFF"/>
          <w:lang w:val="ro-RO"/>
        </w:rPr>
        <w:t xml:space="preserve">Grupul de Lucru al Platformei Civice pentru Solidaritate (Civic Solidarity Platform – CSP), </w:t>
      </w:r>
      <w:r w:rsidRPr="003679EA">
        <w:rPr>
          <w:rStyle w:val="a6"/>
          <w:rFonts w:ascii="Times New Roman" w:hAnsi="Times New Roman"/>
          <w:color w:val="333333"/>
          <w:bdr w:val="none" w:sz="0" w:space="0" w:color="auto" w:frame="1"/>
          <w:shd w:val="clear" w:color="auto" w:fill="FFFFFF"/>
          <w:lang w:val="ro-RO"/>
        </w:rPr>
        <w:t>Indice</w:t>
      </w:r>
      <w:r w:rsidRPr="003679EA">
        <w:rPr>
          <w:rStyle w:val="a6"/>
          <w:rFonts w:ascii="Times New Roman" w:hAnsi="Times New Roman"/>
          <w:color w:val="333333"/>
          <w:bdr w:val="none" w:sz="0" w:space="0" w:color="auto" w:frame="1"/>
          <w:shd w:val="clear" w:color="auto" w:fill="FFFFFF"/>
          <w:lang w:val="ro-RO"/>
        </w:rPr>
        <w:softHyphen/>
        <w:t xml:space="preserve">lui Interdicției Torturii, ediția 2024 </w:t>
      </w:r>
      <w:hyperlink r:id="rId18" w:history="1">
        <w:r w:rsidRPr="003679EA">
          <w:rPr>
            <w:rStyle w:val="af1"/>
            <w:rFonts w:ascii="Times New Roman" w:hAnsi="Times New Roman"/>
            <w:bdr w:val="none" w:sz="0" w:space="0" w:color="auto" w:frame="1"/>
            <w:shd w:val="clear" w:color="auto" w:fill="FFFFFF"/>
            <w:lang w:val="ro-RO"/>
          </w:rPr>
          <w:t>https://promolex.md/wp-content/uploads/2025/06/release-index-2024-1.pdf</w:t>
        </w:r>
      </w:hyperlink>
      <w:r w:rsidRPr="003679EA">
        <w:rPr>
          <w:rStyle w:val="a6"/>
          <w:rFonts w:ascii="Times New Roman" w:hAnsi="Times New Roman"/>
          <w:color w:val="333333"/>
          <w:bdr w:val="none" w:sz="0" w:space="0" w:color="auto" w:frame="1"/>
          <w:shd w:val="clear" w:color="auto" w:fill="FFFFFF"/>
          <w:lang w:val="ro-RO"/>
        </w:rPr>
        <w:t xml:space="preserve"> </w:t>
      </w:r>
    </w:p>
  </w:footnote>
  <w:footnote w:id="24">
    <w:p w14:paraId="564FA221"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Oficiul Avocatului Poporului, Raport anual privind respectarea drepturilor și libertăților omului în Republica Moldova în anul 2023 </w:t>
      </w:r>
      <w:hyperlink r:id="rId19" w:history="1">
        <w:r w:rsidRPr="003679EA">
          <w:rPr>
            <w:rStyle w:val="af1"/>
            <w:rFonts w:ascii="Times New Roman" w:hAnsi="Times New Roman"/>
            <w:lang w:val="ro-RO"/>
          </w:rPr>
          <w:t>https://ombudsman.md/post-document/raport-anual-privind-respectarea-drepturilor-si-libertatilor-omului-in-republica-moldova-in-anul-2023/</w:t>
        </w:r>
      </w:hyperlink>
      <w:r w:rsidRPr="003679EA">
        <w:rPr>
          <w:rFonts w:ascii="Times New Roman" w:hAnsi="Times New Roman"/>
          <w:lang w:val="ro-RO"/>
        </w:rPr>
        <w:t xml:space="preserve"> </w:t>
      </w:r>
    </w:p>
  </w:footnote>
  <w:footnote w:id="25">
    <w:p w14:paraId="480BB483"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Oficiul Avocatului Poporului, Raport tematic, Siguranța la poliție, Raport anual 2024 </w:t>
      </w:r>
      <w:hyperlink r:id="rId20" w:history="1">
        <w:r w:rsidRPr="003679EA">
          <w:rPr>
            <w:rStyle w:val="af1"/>
            <w:rFonts w:ascii="Times New Roman" w:hAnsi="Times New Roman"/>
            <w:lang w:val="ro-RO"/>
          </w:rPr>
          <w:t>https://ombudsman.md/post-document/raport-tematic-siguranta-la-politie-raport-anual-2024/</w:t>
        </w:r>
      </w:hyperlink>
      <w:r w:rsidRPr="003679EA">
        <w:rPr>
          <w:rFonts w:ascii="Times New Roman" w:hAnsi="Times New Roman"/>
          <w:lang w:val="ro-RO"/>
        </w:rPr>
        <w:t xml:space="preserve">   </w:t>
      </w:r>
    </w:p>
  </w:footnote>
  <w:footnote w:id="26">
    <w:p w14:paraId="0418EE58"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Oficiul Avocatului Poporului, Raport tematic privind siguranța la reținerea persoanelor de poliție în anul 2022  </w:t>
      </w:r>
      <w:hyperlink r:id="rId21" w:history="1">
        <w:r w:rsidRPr="003679EA">
          <w:rPr>
            <w:rStyle w:val="af1"/>
            <w:rFonts w:ascii="Times New Roman" w:hAnsi="Times New Roman"/>
            <w:lang w:val="ro-RO"/>
          </w:rPr>
          <w:t>https://ombudsman.md/post-document/raport-anual-tematic-privind-siguranta-la-retinerea-persoanelor-de-politie-in-anul-2022-2-2/</w:t>
        </w:r>
      </w:hyperlink>
      <w:r w:rsidRPr="003679EA">
        <w:rPr>
          <w:rFonts w:ascii="Times New Roman" w:hAnsi="Times New Roman"/>
          <w:lang w:val="ro-RO"/>
        </w:rPr>
        <w:t xml:space="preserve"> </w:t>
      </w:r>
    </w:p>
  </w:footnote>
  <w:footnote w:id="27">
    <w:p w14:paraId="4B7C56E6"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CPD, Studiul Moldova inegală, 2025, </w:t>
      </w:r>
      <w:hyperlink r:id="rId22" w:history="1">
        <w:r w:rsidRPr="003679EA">
          <w:rPr>
            <w:rStyle w:val="af1"/>
            <w:rFonts w:ascii="Times New Roman" w:hAnsi="Times New Roman"/>
            <w:lang w:val="ro-RO"/>
          </w:rPr>
          <w:t>https://progen.md/wp-content/uploads/2025/05/CPD_Raport-Moldova-Inegala_2025-2.pdf</w:t>
        </w:r>
      </w:hyperlink>
      <w:r w:rsidRPr="003679EA">
        <w:rPr>
          <w:rFonts w:ascii="Times New Roman" w:hAnsi="Times New Roman"/>
          <w:lang w:val="ro-RO"/>
        </w:rPr>
        <w:t xml:space="preserve"> </w:t>
      </w:r>
    </w:p>
  </w:footnote>
  <w:footnote w:id="28">
    <w:p w14:paraId="7C1E807B"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RAPORTUL ECRI PRIVIND REPUBLICA MOLDOVA (Al șaselea ciclu de monitorizare), 2024, </w:t>
      </w:r>
      <w:hyperlink r:id="rId23" w:history="1">
        <w:r w:rsidRPr="003679EA">
          <w:rPr>
            <w:rStyle w:val="af1"/>
            <w:rFonts w:ascii="Times New Roman" w:hAnsi="Times New Roman"/>
            <w:lang w:val="ro-RO"/>
          </w:rPr>
          <w:t>https://rm.coe.int/sixth-report-on-the-republic-of-moldova-translation-in-romanian-/1680b20f53</w:t>
        </w:r>
      </w:hyperlink>
    </w:p>
  </w:footnote>
  <w:footnote w:id="29">
    <w:p w14:paraId="3933E11A" w14:textId="77777777" w:rsidR="006A2852" w:rsidRPr="003679EA" w:rsidRDefault="006A2852" w:rsidP="000C6E07">
      <w:pPr>
        <w:pStyle w:val="18"/>
        <w:spacing w:before="0" w:beforeAutospacing="0"/>
        <w:rPr>
          <w:rFonts w:ascii="Times New Roman" w:hAnsi="Times New Roman" w:cs="Times New Roman"/>
          <w:lang w:val="ro-RO"/>
        </w:rPr>
      </w:pPr>
      <w:r w:rsidRPr="003679EA">
        <w:rPr>
          <w:rStyle w:val="aff3"/>
          <w:rFonts w:ascii="Times New Roman" w:hAnsi="Times New Roman"/>
          <w:lang w:val="ro-RO"/>
        </w:rPr>
        <w:footnoteRef/>
      </w:r>
      <w:r w:rsidRPr="003679EA">
        <w:rPr>
          <w:rFonts w:ascii="Times New Roman" w:hAnsi="Times New Roman" w:cs="Times New Roman"/>
          <w:lang w:val="ro-RO"/>
        </w:rPr>
        <w:t xml:space="preserve"> </w:t>
      </w:r>
      <w:hyperlink r:id="rId24" w:history="1">
        <w:r w:rsidRPr="003679EA">
          <w:rPr>
            <w:rStyle w:val="af1"/>
            <w:rFonts w:ascii="Times New Roman" w:hAnsi="Times New Roman" w:cs="Times New Roman"/>
            <w:lang w:val="ro-RO"/>
          </w:rPr>
          <w:t>http://ombudsman.md/consiliul-pentru-prevenirea-torturii/rapoarte/</w:t>
        </w:r>
      </w:hyperlink>
      <w:r w:rsidRPr="003679EA">
        <w:rPr>
          <w:rStyle w:val="af1"/>
          <w:rFonts w:ascii="Times New Roman" w:hAnsi="Times New Roman" w:cs="Times New Roman"/>
          <w:lang w:val="ro-RO"/>
        </w:rPr>
        <w:t>.</w:t>
      </w:r>
      <w:r w:rsidRPr="003679EA">
        <w:rPr>
          <w:rFonts w:ascii="Times New Roman" w:hAnsi="Times New Roman" w:cs="Times New Roman"/>
          <w:lang w:val="ro-RO"/>
        </w:rPr>
        <w:t xml:space="preserve"> </w:t>
      </w:r>
    </w:p>
  </w:footnote>
  <w:footnote w:id="30">
    <w:p w14:paraId="7EBC7817" w14:textId="73B80ADD" w:rsidR="006A2852" w:rsidRPr="003679EA" w:rsidRDefault="006A2852" w:rsidP="000C6E07">
      <w:pPr>
        <w:pStyle w:val="aff1"/>
        <w:rPr>
          <w:rFonts w:ascii="Times New Roman" w:hAnsi="Times New Roman"/>
          <w:lang w:val="ro-RO"/>
        </w:rPr>
      </w:pPr>
      <w:r w:rsidRPr="003679EA">
        <w:rPr>
          <w:rFonts w:ascii="Times New Roman" w:hAnsi="Times New Roman"/>
          <w:vertAlign w:val="superscript"/>
          <w:lang w:val="ro-RO"/>
        </w:rPr>
        <w:footnoteRef/>
      </w:r>
      <w:r w:rsidRPr="003679EA">
        <w:rPr>
          <w:rFonts w:ascii="Times New Roman" w:hAnsi="Times New Roman"/>
          <w:lang w:val="ro-RO"/>
        </w:rPr>
        <w:t xml:space="preserve"> Raport anual de activitate a Consiliului pentru Prevenirea Torturii (Mecanismului Național de Prevenire a Torturii) în anul 2023 </w:t>
      </w:r>
      <w:hyperlink r:id="rId25" w:history="1">
        <w:r w:rsidRPr="003679EA">
          <w:rPr>
            <w:rStyle w:val="af1"/>
            <w:rFonts w:ascii="Times New Roman" w:hAnsi="Times New Roman"/>
            <w:lang w:val="ro-RO"/>
          </w:rPr>
          <w:t>https://ombudsman.md/post-document/raport-anual-2023-privind-prevenirea-torturii-si-a-altor-pedepse-ori-tratamente-cu-cruzime-inumane-sau-degradante-in-republica-moldova/</w:t>
        </w:r>
      </w:hyperlink>
      <w:r w:rsidRPr="003679EA">
        <w:rPr>
          <w:rFonts w:ascii="Times New Roman" w:hAnsi="Times New Roman"/>
          <w:lang w:val="ro-RO"/>
        </w:rPr>
        <w:t xml:space="preserve"> </w:t>
      </w:r>
    </w:p>
  </w:footnote>
  <w:footnote w:id="31">
    <w:p w14:paraId="1F58029E"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26" w:history="1">
        <w:r w:rsidRPr="003679EA">
          <w:rPr>
            <w:rStyle w:val="af1"/>
            <w:rFonts w:ascii="Times New Roman" w:hAnsi="Times New Roman"/>
            <w:lang w:val="ro-RO"/>
          </w:rPr>
          <w:t>https://www.ohchr.org/sites/default/files/Documents/ProfessionalInterest/tokyorules.pdf</w:t>
        </w:r>
      </w:hyperlink>
      <w:r w:rsidRPr="003679EA">
        <w:rPr>
          <w:rStyle w:val="af1"/>
          <w:rFonts w:ascii="Times New Roman" w:hAnsi="Times New Roman"/>
          <w:lang w:val="ro-RO"/>
        </w:rPr>
        <w:t>.</w:t>
      </w:r>
      <w:r w:rsidRPr="003679EA">
        <w:rPr>
          <w:rFonts w:ascii="Times New Roman" w:hAnsi="Times New Roman"/>
          <w:lang w:val="ro-RO"/>
        </w:rPr>
        <w:t xml:space="preserve"> </w:t>
      </w:r>
    </w:p>
  </w:footnote>
  <w:footnote w:id="32">
    <w:p w14:paraId="0E692F68"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27" w:history="1">
        <w:r w:rsidRPr="003679EA">
          <w:rPr>
            <w:rStyle w:val="af1"/>
            <w:rFonts w:ascii="Times New Roman" w:hAnsi="Times New Roman"/>
            <w:lang w:val="ro-RO"/>
          </w:rPr>
          <w:t>https://www.unodc.org/documents/justice-and-prison-reform/Nelson_Mandela_Rules-E-ebook.pdf</w:t>
        </w:r>
      </w:hyperlink>
      <w:r w:rsidRPr="003679EA">
        <w:rPr>
          <w:rStyle w:val="af1"/>
          <w:rFonts w:ascii="Times New Roman" w:hAnsi="Times New Roman"/>
          <w:lang w:val="ro-RO"/>
        </w:rPr>
        <w:t>.</w:t>
      </w:r>
      <w:r w:rsidRPr="003679EA">
        <w:rPr>
          <w:rFonts w:ascii="Times New Roman" w:hAnsi="Times New Roman"/>
          <w:lang w:val="ro-RO"/>
        </w:rPr>
        <w:t xml:space="preserve"> </w:t>
      </w:r>
    </w:p>
  </w:footnote>
  <w:footnote w:id="33">
    <w:p w14:paraId="744C719C"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28" w:history="1">
        <w:r w:rsidRPr="003679EA">
          <w:rPr>
            <w:rStyle w:val="af1"/>
            <w:rFonts w:ascii="Times New Roman" w:hAnsi="Times New Roman"/>
            <w:lang w:val="ro-RO"/>
          </w:rPr>
          <w:t>https://www.unodc.org/documents/justice-and-prison-reform/Bangkok_Rules_ENG_22032015.pdf</w:t>
        </w:r>
      </w:hyperlink>
      <w:r w:rsidRPr="003679EA">
        <w:rPr>
          <w:rStyle w:val="af1"/>
          <w:rFonts w:ascii="Times New Roman" w:hAnsi="Times New Roman"/>
          <w:lang w:val="ro-RO"/>
        </w:rPr>
        <w:t>.</w:t>
      </w:r>
      <w:r w:rsidRPr="003679EA">
        <w:rPr>
          <w:rFonts w:ascii="Times New Roman" w:hAnsi="Times New Roman"/>
          <w:lang w:val="ro-RO"/>
        </w:rPr>
        <w:t xml:space="preserve"> </w:t>
      </w:r>
    </w:p>
  </w:footnote>
  <w:footnote w:id="34">
    <w:p w14:paraId="33AF5CCB"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OAP, RAPORT SPECIAL Deces dubios a unei persoane drog-dependente reținute de angajații poliției mun. Chișinău, 2024 </w:t>
      </w:r>
      <w:hyperlink r:id="rId29" w:history="1">
        <w:r w:rsidRPr="003679EA">
          <w:rPr>
            <w:rStyle w:val="af1"/>
            <w:rFonts w:ascii="Times New Roman" w:hAnsi="Times New Roman"/>
            <w:lang w:val="ro-RO"/>
          </w:rPr>
          <w:t>https://ombudsman.md/wp-content/uploads/2024/01/raport-special-deces-dubios-al-unei-persoane-drog-dependente-retinute-de-angajatii-politiei-municipiului-chisinau.pdf</w:t>
        </w:r>
      </w:hyperlink>
      <w:r w:rsidRPr="003679EA">
        <w:rPr>
          <w:rFonts w:ascii="Times New Roman" w:hAnsi="Times New Roman"/>
          <w:lang w:val="ro-RO"/>
        </w:rPr>
        <w:t xml:space="preserve"> </w:t>
      </w:r>
    </w:p>
  </w:footnote>
  <w:footnote w:id="35">
    <w:p w14:paraId="6987999B"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30" w:history="1">
        <w:r w:rsidRPr="003679EA">
          <w:rPr>
            <w:rStyle w:val="af1"/>
            <w:rFonts w:ascii="Times New Roman" w:hAnsi="Times New Roman"/>
            <w:lang w:val="ro-RO"/>
          </w:rPr>
          <w:t>http://ombudsman.md/wp-content/uploads/2019/03/BRAGUTA_Raport_pdf_FINAL-1.pdf</w:t>
        </w:r>
      </w:hyperlink>
      <w:r w:rsidRPr="003679EA">
        <w:rPr>
          <w:rStyle w:val="af1"/>
          <w:rFonts w:ascii="Times New Roman" w:hAnsi="Times New Roman"/>
          <w:lang w:val="ro-RO"/>
        </w:rPr>
        <w:t>.</w:t>
      </w:r>
      <w:r w:rsidRPr="003679EA">
        <w:rPr>
          <w:rFonts w:ascii="Times New Roman" w:hAnsi="Times New Roman"/>
          <w:lang w:val="ro-RO"/>
        </w:rPr>
        <w:t xml:space="preserve"> </w:t>
      </w:r>
    </w:p>
  </w:footnote>
  <w:footnote w:id="36">
    <w:p w14:paraId="121CC28D"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Consiliul pentru drepturile omului al Națiunilor Unite, Rezoluția A/HRC/56/L.12 cu privire la promovarea și protejarea tuturor drepturilor omului, drepturilor civile, politice, economice, sociale și culturale, inclusiv a dreptului la dezvoltare din 5 iulie 2024, ultima accesare: 13 ianuarie 2025</w:t>
      </w:r>
    </w:p>
  </w:footnote>
  <w:footnote w:id="37">
    <w:p w14:paraId="74605CA2"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Asociația Promo-LEX, Prevenire și combaterea discursului online în Republica Moldova, 2025 </w:t>
      </w:r>
      <w:hyperlink r:id="rId31" w:history="1">
        <w:r w:rsidRPr="003679EA">
          <w:rPr>
            <w:rStyle w:val="af1"/>
            <w:rFonts w:ascii="Times New Roman" w:hAnsi="Times New Roman"/>
            <w:lang w:val="ro-RO"/>
          </w:rPr>
          <w:t>https://promolex.md/wp-content/uploads/2025/06/analiza_combaterea_du_online_in_republica_moldova_2025.pdf</w:t>
        </w:r>
      </w:hyperlink>
      <w:r w:rsidRPr="003679EA">
        <w:rPr>
          <w:rFonts w:ascii="Times New Roman" w:hAnsi="Times New Roman"/>
          <w:lang w:val="ro-RO"/>
        </w:rPr>
        <w:t xml:space="preserve"> </w:t>
      </w:r>
    </w:p>
  </w:footnote>
  <w:footnote w:id="38">
    <w:p w14:paraId="2FCEA2A5"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RAPORTUL ECRI PRIVIND REPUBLICA MOLDOVA (Al șaselea ciclu de monitorizare), 2024, </w:t>
      </w:r>
      <w:hyperlink r:id="rId32" w:history="1">
        <w:r w:rsidRPr="003679EA">
          <w:rPr>
            <w:rStyle w:val="af1"/>
            <w:rFonts w:ascii="Times New Roman" w:hAnsi="Times New Roman"/>
            <w:lang w:val="ro-RO"/>
          </w:rPr>
          <w:t>https://rm.coe.int/sixth-report-on-the-republic-of-moldova-translation-in-romanian-/1680b20f53</w:t>
        </w:r>
      </w:hyperlink>
      <w:r w:rsidRPr="003679EA">
        <w:rPr>
          <w:rFonts w:ascii="Times New Roman" w:hAnsi="Times New Roman"/>
          <w:lang w:val="ro-RO"/>
        </w:rPr>
        <w:t xml:space="preserve"> </w:t>
      </w:r>
    </w:p>
  </w:footnote>
  <w:footnote w:id="39">
    <w:p w14:paraId="25426E15"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33" w:history="1">
        <w:r w:rsidRPr="003679EA">
          <w:rPr>
            <w:rStyle w:val="af1"/>
            <w:rFonts w:ascii="Times New Roman" w:hAnsi="Times New Roman"/>
            <w:lang w:val="ro-RO"/>
          </w:rPr>
          <w:t>https://promolex.md/wp-content/uploads/2024/02/Indrumar_aplicarea_prevederilor_CC_discurs_de_ur%C4%83-2.pdf</w:t>
        </w:r>
      </w:hyperlink>
      <w:r w:rsidRPr="003679EA">
        <w:rPr>
          <w:rFonts w:ascii="Times New Roman" w:hAnsi="Times New Roman"/>
          <w:lang w:val="ro-RO"/>
        </w:rPr>
        <w:t xml:space="preserve"> </w:t>
      </w:r>
    </w:p>
  </w:footnote>
  <w:footnote w:id="40">
    <w:p w14:paraId="0085E2D1"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Asociația Promo-LEX, Aplicarea prevederilor Codului Contravențional cu privire la discursul de ură și instigare la discriminare, 2025 </w:t>
      </w:r>
      <w:hyperlink r:id="rId34" w:history="1">
        <w:r w:rsidRPr="003679EA">
          <w:rPr>
            <w:rStyle w:val="af1"/>
            <w:rFonts w:ascii="Times New Roman" w:hAnsi="Times New Roman"/>
            <w:lang w:val="ro-RO"/>
          </w:rPr>
          <w:t>https://promolex.md/wp-content/uploads/2023/09/Studiu-Analitic.pdf</w:t>
        </w:r>
      </w:hyperlink>
      <w:r w:rsidRPr="003679EA">
        <w:rPr>
          <w:rFonts w:ascii="Times New Roman" w:hAnsi="Times New Roman"/>
          <w:lang w:val="ro-RO"/>
        </w:rPr>
        <w:t xml:space="preserve"> </w:t>
      </w:r>
    </w:p>
  </w:footnote>
  <w:footnote w:id="41">
    <w:p w14:paraId="2B5B0E78" w14:textId="77777777" w:rsidR="006A2852" w:rsidRPr="003679EA" w:rsidRDefault="006A2852" w:rsidP="000C6E07">
      <w:pPr>
        <w:pStyle w:val="aff1"/>
        <w:jc w:val="both"/>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w:t>
      </w:r>
      <w:hyperlink r:id="rId35" w:history="1">
        <w:r w:rsidRPr="003679EA">
          <w:rPr>
            <w:rStyle w:val="af1"/>
            <w:rFonts w:ascii="Times New Roman" w:hAnsi="Times New Roman"/>
            <w:lang w:val="ro-RO"/>
          </w:rPr>
          <w:t>https://digitallibrary.un.org/record/3884725?ln=en</w:t>
        </w:r>
      </w:hyperlink>
      <w:r w:rsidRPr="003679EA">
        <w:rPr>
          <w:rFonts w:ascii="Times New Roman" w:hAnsi="Times New Roman"/>
          <w:lang w:val="ro-RO"/>
        </w:rPr>
        <w:t>.</w:t>
      </w:r>
    </w:p>
  </w:footnote>
  <w:footnote w:id="42">
    <w:p w14:paraId="5F46E151" w14:textId="77777777" w:rsidR="006A2852" w:rsidRPr="003679EA" w:rsidRDefault="006A2852" w:rsidP="000C6E07">
      <w:pPr>
        <w:pStyle w:val="aff1"/>
        <w:rPr>
          <w:rFonts w:ascii="Times New Roman" w:hAnsi="Times New Roman"/>
          <w:lang w:val="ro-RO"/>
        </w:rPr>
      </w:pPr>
      <w:r w:rsidRPr="003679EA">
        <w:rPr>
          <w:rStyle w:val="aff3"/>
          <w:rFonts w:ascii="Times New Roman" w:hAnsi="Times New Roman"/>
          <w:lang w:val="ro-RO"/>
        </w:rPr>
        <w:footnoteRef/>
      </w:r>
      <w:r w:rsidRPr="003679EA">
        <w:rPr>
          <w:rFonts w:ascii="Times New Roman" w:hAnsi="Times New Roman"/>
          <w:lang w:val="ro-RO"/>
        </w:rPr>
        <w:t xml:space="preserve"> UNFPA, Ghid infografic privind Violența în bază de gen facilitată de tehnologie, </w:t>
      </w:r>
      <w:hyperlink r:id="rId36" w:history="1">
        <w:r w:rsidRPr="003679EA">
          <w:rPr>
            <w:rStyle w:val="af1"/>
            <w:rFonts w:ascii="Times New Roman" w:hAnsi="Times New Roman"/>
            <w:lang w:val="ro-RO"/>
          </w:rPr>
          <w:t>https://moldova.unfpa.org/sites/default/files/pub-pdf/2025-02/An%20Infographic%20Guide%20to%20An%20Infographic%20Guide%20to%20TFGBV%20%281%29-Ro.pdf</w:t>
        </w:r>
      </w:hyperlink>
      <w:r w:rsidRPr="003679EA">
        <w:rPr>
          <w:rFonts w:ascii="Times New Roman" w:hAnsi="Times New Roman"/>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2DD8"/>
    <w:multiLevelType w:val="multilevel"/>
    <w:tmpl w:val="044A2DD8"/>
    <w:lvl w:ilvl="0">
      <w:start w:val="1"/>
      <w:numFmt w:val="decimal"/>
      <w:lvlText w:val="%1."/>
      <w:lvlJc w:val="left"/>
      <w:pPr>
        <w:ind w:left="540" w:hanging="540"/>
      </w:pPr>
      <w:rPr>
        <w:rFonts w:hint="default"/>
      </w:rPr>
    </w:lvl>
    <w:lvl w:ilvl="1">
      <w:start w:val="1"/>
      <w:numFmt w:val="decimal"/>
      <w:lvlText w:val="%1.%2."/>
      <w:lvlJc w:val="left"/>
      <w:pPr>
        <w:ind w:left="541" w:hanging="54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 w15:restartNumberingAfterBreak="0">
    <w:nsid w:val="051A6B3F"/>
    <w:multiLevelType w:val="multilevel"/>
    <w:tmpl w:val="1A801E2C"/>
    <w:lvl w:ilvl="0">
      <w:start w:val="1"/>
      <w:numFmt w:val="decimal"/>
      <w:lvlText w:val="%1."/>
      <w:lvlJc w:val="left"/>
      <w:pPr>
        <w:tabs>
          <w:tab w:val="num" w:pos="928"/>
        </w:tabs>
        <w:ind w:left="928"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16EB0"/>
    <w:multiLevelType w:val="multilevel"/>
    <w:tmpl w:val="04F0CF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11EF5"/>
    <w:multiLevelType w:val="multilevel"/>
    <w:tmpl w:val="9784377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5D0449"/>
    <w:multiLevelType w:val="hybridMultilevel"/>
    <w:tmpl w:val="02246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B0089"/>
    <w:multiLevelType w:val="multilevel"/>
    <w:tmpl w:val="61AA1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D816AA"/>
    <w:multiLevelType w:val="multilevel"/>
    <w:tmpl w:val="40F455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EB0825"/>
    <w:multiLevelType w:val="multilevel"/>
    <w:tmpl w:val="B6685DE2"/>
    <w:lvl w:ilvl="0">
      <w:start w:val="1"/>
      <w:numFmt w:val="decimal"/>
      <w:lvlText w:val="%1."/>
      <w:lvlJc w:val="left"/>
      <w:pPr>
        <w:ind w:left="720" w:hanging="360"/>
      </w:pPr>
      <w:rPr>
        <w:rFonts w:cstheme="minorBidi" w:hint="default"/>
        <w:color w:val="FF000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E1966F6"/>
    <w:multiLevelType w:val="multilevel"/>
    <w:tmpl w:val="1E1966F6"/>
    <w:lvl w:ilvl="0">
      <w:start w:val="1"/>
      <w:numFmt w:val="decimal"/>
      <w:lvlText w:val="%1."/>
      <w:lvlJc w:val="left"/>
      <w:rPr>
        <w:rFonts w:eastAsia="Calibri" w:cs="Times New Roman"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3C1968"/>
    <w:multiLevelType w:val="multilevel"/>
    <w:tmpl w:val="D71CE0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423F82"/>
    <w:multiLevelType w:val="multilevel"/>
    <w:tmpl w:val="542A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F36221"/>
    <w:multiLevelType w:val="multilevel"/>
    <w:tmpl w:val="39F36221"/>
    <w:lvl w:ilvl="0">
      <w:start w:val="1"/>
      <w:numFmt w:val="decimal"/>
      <w:lvlText w:val="%1."/>
      <w:lvlJc w:val="left"/>
      <w:pPr>
        <w:ind w:left="540" w:hanging="540"/>
      </w:pPr>
      <w:rPr>
        <w:rFonts w:hint="default"/>
      </w:rPr>
    </w:lvl>
    <w:lvl w:ilvl="1">
      <w:start w:val="4"/>
      <w:numFmt w:val="decimal"/>
      <w:lvlText w:val="%1.%2."/>
      <w:lvlJc w:val="left"/>
      <w:pPr>
        <w:ind w:left="553" w:hanging="54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2" w15:restartNumberingAfterBreak="0">
    <w:nsid w:val="3CF6577D"/>
    <w:multiLevelType w:val="multilevel"/>
    <w:tmpl w:val="1A50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05826"/>
    <w:multiLevelType w:val="multilevel"/>
    <w:tmpl w:val="FF68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93330B"/>
    <w:multiLevelType w:val="hybridMultilevel"/>
    <w:tmpl w:val="D4FE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20288"/>
    <w:multiLevelType w:val="multilevel"/>
    <w:tmpl w:val="B9207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076BA3"/>
    <w:multiLevelType w:val="hybridMultilevel"/>
    <w:tmpl w:val="45D2F28A"/>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E63291"/>
    <w:multiLevelType w:val="multilevel"/>
    <w:tmpl w:val="63E63291"/>
    <w:lvl w:ilvl="0">
      <w:start w:val="1"/>
      <w:numFmt w:val="bullet"/>
      <w:lvlText w:val="-"/>
      <w:lvlJc w:val="left"/>
      <w:pPr>
        <w:ind w:left="291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0849E2"/>
    <w:multiLevelType w:val="multilevel"/>
    <w:tmpl w:val="698205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2E3A9B"/>
    <w:multiLevelType w:val="multilevel"/>
    <w:tmpl w:val="6D2E3A9B"/>
    <w:lvl w:ilvl="0">
      <w:start w:val="1"/>
      <w:numFmt w:val="decimal"/>
      <w:lvlText w:val="%1."/>
      <w:lvlJc w:val="left"/>
      <w:pPr>
        <w:ind w:left="660" w:hanging="660"/>
      </w:pPr>
      <w:rPr>
        <w:rFonts w:eastAsia="SimSun" w:hint="default"/>
      </w:rPr>
    </w:lvl>
    <w:lvl w:ilvl="1">
      <w:start w:val="1"/>
      <w:numFmt w:val="decimal"/>
      <w:lvlText w:val="%1.%2."/>
      <w:lvlJc w:val="left"/>
      <w:pPr>
        <w:ind w:left="673" w:hanging="660"/>
      </w:pPr>
      <w:rPr>
        <w:rFonts w:eastAsia="SimSun" w:hint="default"/>
      </w:rPr>
    </w:lvl>
    <w:lvl w:ilvl="2">
      <w:start w:val="10"/>
      <w:numFmt w:val="decimal"/>
      <w:lvlText w:val="%1.%2.%3."/>
      <w:lvlJc w:val="left"/>
      <w:pPr>
        <w:ind w:left="746" w:hanging="720"/>
      </w:pPr>
      <w:rPr>
        <w:rFonts w:eastAsia="SimSun" w:hint="default"/>
      </w:rPr>
    </w:lvl>
    <w:lvl w:ilvl="3">
      <w:start w:val="1"/>
      <w:numFmt w:val="decimal"/>
      <w:lvlText w:val="%1.%2.%3.%4."/>
      <w:lvlJc w:val="left"/>
      <w:pPr>
        <w:ind w:left="759" w:hanging="720"/>
      </w:pPr>
      <w:rPr>
        <w:rFonts w:eastAsia="SimSun" w:hint="default"/>
      </w:rPr>
    </w:lvl>
    <w:lvl w:ilvl="4">
      <w:start w:val="1"/>
      <w:numFmt w:val="decimal"/>
      <w:lvlText w:val="%1.%2.%3.%4.%5."/>
      <w:lvlJc w:val="left"/>
      <w:pPr>
        <w:ind w:left="1132" w:hanging="1080"/>
      </w:pPr>
      <w:rPr>
        <w:rFonts w:eastAsia="SimSun" w:hint="default"/>
      </w:rPr>
    </w:lvl>
    <w:lvl w:ilvl="5">
      <w:start w:val="1"/>
      <w:numFmt w:val="decimal"/>
      <w:lvlText w:val="%1.%2.%3.%4.%5.%6."/>
      <w:lvlJc w:val="left"/>
      <w:pPr>
        <w:ind w:left="1145" w:hanging="1080"/>
      </w:pPr>
      <w:rPr>
        <w:rFonts w:eastAsia="SimSun" w:hint="default"/>
      </w:rPr>
    </w:lvl>
    <w:lvl w:ilvl="6">
      <w:start w:val="1"/>
      <w:numFmt w:val="decimal"/>
      <w:lvlText w:val="%1.%2.%3.%4.%5.%6.%7."/>
      <w:lvlJc w:val="left"/>
      <w:pPr>
        <w:ind w:left="1518" w:hanging="1440"/>
      </w:pPr>
      <w:rPr>
        <w:rFonts w:eastAsia="SimSun" w:hint="default"/>
      </w:rPr>
    </w:lvl>
    <w:lvl w:ilvl="7">
      <w:start w:val="1"/>
      <w:numFmt w:val="decimal"/>
      <w:lvlText w:val="%1.%2.%3.%4.%5.%6.%7.%8."/>
      <w:lvlJc w:val="left"/>
      <w:pPr>
        <w:ind w:left="1531" w:hanging="1440"/>
      </w:pPr>
      <w:rPr>
        <w:rFonts w:eastAsia="SimSun" w:hint="default"/>
      </w:rPr>
    </w:lvl>
    <w:lvl w:ilvl="8">
      <w:start w:val="1"/>
      <w:numFmt w:val="decimal"/>
      <w:lvlText w:val="%1.%2.%3.%4.%5.%6.%7.%8.%9."/>
      <w:lvlJc w:val="left"/>
      <w:pPr>
        <w:ind w:left="1904" w:hanging="1800"/>
      </w:pPr>
      <w:rPr>
        <w:rFonts w:eastAsia="SimSun" w:hint="default"/>
      </w:rPr>
    </w:lvl>
  </w:abstractNum>
  <w:abstractNum w:abstractNumId="20" w15:restartNumberingAfterBreak="0">
    <w:nsid w:val="70CF10C3"/>
    <w:multiLevelType w:val="multilevel"/>
    <w:tmpl w:val="5A8649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561984790">
    <w:abstractNumId w:val="7"/>
  </w:num>
  <w:num w:numId="2" w16cid:durableId="832448413">
    <w:abstractNumId w:val="6"/>
  </w:num>
  <w:num w:numId="3" w16cid:durableId="1626279542">
    <w:abstractNumId w:val="15"/>
  </w:num>
  <w:num w:numId="4" w16cid:durableId="332031856">
    <w:abstractNumId w:val="18"/>
  </w:num>
  <w:num w:numId="5" w16cid:durableId="920532063">
    <w:abstractNumId w:val="5"/>
  </w:num>
  <w:num w:numId="6" w16cid:durableId="357316745">
    <w:abstractNumId w:val="20"/>
  </w:num>
  <w:num w:numId="7" w16cid:durableId="988948252">
    <w:abstractNumId w:val="9"/>
  </w:num>
  <w:num w:numId="8" w16cid:durableId="576132628">
    <w:abstractNumId w:val="0"/>
  </w:num>
  <w:num w:numId="9" w16cid:durableId="1603606965">
    <w:abstractNumId w:val="16"/>
  </w:num>
  <w:num w:numId="10" w16cid:durableId="641352923">
    <w:abstractNumId w:val="19"/>
  </w:num>
  <w:num w:numId="11" w16cid:durableId="617873752">
    <w:abstractNumId w:val="11"/>
  </w:num>
  <w:num w:numId="12" w16cid:durableId="84883255">
    <w:abstractNumId w:val="8"/>
  </w:num>
  <w:num w:numId="13" w16cid:durableId="888686460">
    <w:abstractNumId w:val="2"/>
  </w:num>
  <w:num w:numId="14" w16cid:durableId="609243416">
    <w:abstractNumId w:val="3"/>
  </w:num>
  <w:num w:numId="15" w16cid:durableId="487936982">
    <w:abstractNumId w:val="4"/>
  </w:num>
  <w:num w:numId="16" w16cid:durableId="130635409">
    <w:abstractNumId w:val="21"/>
  </w:num>
  <w:num w:numId="17" w16cid:durableId="1835337055">
    <w:abstractNumId w:val="12"/>
  </w:num>
  <w:num w:numId="18" w16cid:durableId="928582383">
    <w:abstractNumId w:val="14"/>
  </w:num>
  <w:num w:numId="19" w16cid:durableId="985747384">
    <w:abstractNumId w:val="13"/>
  </w:num>
  <w:num w:numId="20" w16cid:durableId="1070928110">
    <w:abstractNumId w:val="10"/>
  </w:num>
  <w:num w:numId="21" w16cid:durableId="2046179029">
    <w:abstractNumId w:val="17"/>
  </w:num>
  <w:num w:numId="22" w16cid:durableId="1903364328">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 Ciobanu">
    <w15:presenceInfo w15:providerId="Windows Live" w15:userId="479643ec42fefbce"/>
  </w15:person>
  <w15:person w15:author="adrian.ciobanu (adrian.ciobanu@igsu.gov.md)">
    <w15:presenceInfo w15:providerId="Teamlab" w15:userId="ocl1xw8c00wb_adrian.ciobanu@igsu.gov.m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BB1"/>
    <w:rsid w:val="000070A5"/>
    <w:rsid w:val="00015CEB"/>
    <w:rsid w:val="000222D3"/>
    <w:rsid w:val="000229BB"/>
    <w:rsid w:val="000233A8"/>
    <w:rsid w:val="0003604A"/>
    <w:rsid w:val="000419EB"/>
    <w:rsid w:val="000452DD"/>
    <w:rsid w:val="000523DF"/>
    <w:rsid w:val="00055E07"/>
    <w:rsid w:val="00060454"/>
    <w:rsid w:val="000608D7"/>
    <w:rsid w:val="000719E3"/>
    <w:rsid w:val="00073788"/>
    <w:rsid w:val="00081B67"/>
    <w:rsid w:val="00091305"/>
    <w:rsid w:val="00092DC1"/>
    <w:rsid w:val="00096503"/>
    <w:rsid w:val="000967AC"/>
    <w:rsid w:val="00096CC5"/>
    <w:rsid w:val="000A2543"/>
    <w:rsid w:val="000A57B7"/>
    <w:rsid w:val="000B1F14"/>
    <w:rsid w:val="000B220A"/>
    <w:rsid w:val="000B284E"/>
    <w:rsid w:val="000B32BC"/>
    <w:rsid w:val="000C11FA"/>
    <w:rsid w:val="000C1F2B"/>
    <w:rsid w:val="000C2159"/>
    <w:rsid w:val="000C65BF"/>
    <w:rsid w:val="000C6E07"/>
    <w:rsid w:val="000C79E5"/>
    <w:rsid w:val="000E0F7B"/>
    <w:rsid w:val="000E3558"/>
    <w:rsid w:val="000E4CCC"/>
    <w:rsid w:val="000F013C"/>
    <w:rsid w:val="001004AA"/>
    <w:rsid w:val="00101818"/>
    <w:rsid w:val="00105AE3"/>
    <w:rsid w:val="00105C6E"/>
    <w:rsid w:val="00111021"/>
    <w:rsid w:val="00111D39"/>
    <w:rsid w:val="0011731F"/>
    <w:rsid w:val="001215EA"/>
    <w:rsid w:val="00123C8A"/>
    <w:rsid w:val="00130187"/>
    <w:rsid w:val="001326D1"/>
    <w:rsid w:val="001349BF"/>
    <w:rsid w:val="00142224"/>
    <w:rsid w:val="001432EB"/>
    <w:rsid w:val="0014392B"/>
    <w:rsid w:val="001536D0"/>
    <w:rsid w:val="00157376"/>
    <w:rsid w:val="00157A31"/>
    <w:rsid w:val="00161555"/>
    <w:rsid w:val="001661B6"/>
    <w:rsid w:val="00172BCD"/>
    <w:rsid w:val="00172D0D"/>
    <w:rsid w:val="00173C48"/>
    <w:rsid w:val="0017465C"/>
    <w:rsid w:val="00175225"/>
    <w:rsid w:val="00177BB7"/>
    <w:rsid w:val="0019087C"/>
    <w:rsid w:val="0019205E"/>
    <w:rsid w:val="00193856"/>
    <w:rsid w:val="00195E34"/>
    <w:rsid w:val="001A0A04"/>
    <w:rsid w:val="001B1A33"/>
    <w:rsid w:val="001B5C58"/>
    <w:rsid w:val="001B6B82"/>
    <w:rsid w:val="001B6D23"/>
    <w:rsid w:val="001C28E7"/>
    <w:rsid w:val="001C52D2"/>
    <w:rsid w:val="001E55DC"/>
    <w:rsid w:val="001E6E51"/>
    <w:rsid w:val="001E700D"/>
    <w:rsid w:val="002111C0"/>
    <w:rsid w:val="00213D27"/>
    <w:rsid w:val="00223CB8"/>
    <w:rsid w:val="00223EC6"/>
    <w:rsid w:val="00224CAF"/>
    <w:rsid w:val="0022735E"/>
    <w:rsid w:val="002356BE"/>
    <w:rsid w:val="00236386"/>
    <w:rsid w:val="002415BE"/>
    <w:rsid w:val="002417D9"/>
    <w:rsid w:val="00257FDC"/>
    <w:rsid w:val="00272069"/>
    <w:rsid w:val="002772DE"/>
    <w:rsid w:val="0027792C"/>
    <w:rsid w:val="00283567"/>
    <w:rsid w:val="0028453A"/>
    <w:rsid w:val="002867AA"/>
    <w:rsid w:val="00291167"/>
    <w:rsid w:val="002936A5"/>
    <w:rsid w:val="002939F7"/>
    <w:rsid w:val="002A00A5"/>
    <w:rsid w:val="002B22E0"/>
    <w:rsid w:val="002B49D4"/>
    <w:rsid w:val="002C6FD4"/>
    <w:rsid w:val="002D0697"/>
    <w:rsid w:val="002D3A38"/>
    <w:rsid w:val="002D5755"/>
    <w:rsid w:val="002E0EF5"/>
    <w:rsid w:val="002E277D"/>
    <w:rsid w:val="002F445C"/>
    <w:rsid w:val="002F4A30"/>
    <w:rsid w:val="00301B26"/>
    <w:rsid w:val="00307515"/>
    <w:rsid w:val="00307FA4"/>
    <w:rsid w:val="00310AEE"/>
    <w:rsid w:val="00311244"/>
    <w:rsid w:val="00311C39"/>
    <w:rsid w:val="00314B92"/>
    <w:rsid w:val="00324E95"/>
    <w:rsid w:val="0035725C"/>
    <w:rsid w:val="00357868"/>
    <w:rsid w:val="00366116"/>
    <w:rsid w:val="003679EA"/>
    <w:rsid w:val="00370236"/>
    <w:rsid w:val="003707A2"/>
    <w:rsid w:val="00382F79"/>
    <w:rsid w:val="00393581"/>
    <w:rsid w:val="00394479"/>
    <w:rsid w:val="0039508C"/>
    <w:rsid w:val="00397280"/>
    <w:rsid w:val="003A0E00"/>
    <w:rsid w:val="003A21F9"/>
    <w:rsid w:val="003A737C"/>
    <w:rsid w:val="003B324C"/>
    <w:rsid w:val="003B3A2B"/>
    <w:rsid w:val="003B50FF"/>
    <w:rsid w:val="003B7F79"/>
    <w:rsid w:val="003C05FF"/>
    <w:rsid w:val="003C0C53"/>
    <w:rsid w:val="003C0D11"/>
    <w:rsid w:val="003C3115"/>
    <w:rsid w:val="003D1A8E"/>
    <w:rsid w:val="003E1C35"/>
    <w:rsid w:val="003E2AF0"/>
    <w:rsid w:val="003E363A"/>
    <w:rsid w:val="003F27B5"/>
    <w:rsid w:val="00403054"/>
    <w:rsid w:val="00410417"/>
    <w:rsid w:val="00410992"/>
    <w:rsid w:val="004122F9"/>
    <w:rsid w:val="004130E0"/>
    <w:rsid w:val="004170B6"/>
    <w:rsid w:val="00421A9A"/>
    <w:rsid w:val="00430E3B"/>
    <w:rsid w:val="004322F1"/>
    <w:rsid w:val="004356CF"/>
    <w:rsid w:val="00436F1F"/>
    <w:rsid w:val="00437A7C"/>
    <w:rsid w:val="00445582"/>
    <w:rsid w:val="00450C0C"/>
    <w:rsid w:val="00451956"/>
    <w:rsid w:val="004519F5"/>
    <w:rsid w:val="00453587"/>
    <w:rsid w:val="00457CFE"/>
    <w:rsid w:val="004625E3"/>
    <w:rsid w:val="004723EE"/>
    <w:rsid w:val="00472F39"/>
    <w:rsid w:val="00475D8A"/>
    <w:rsid w:val="00477C4A"/>
    <w:rsid w:val="004823F7"/>
    <w:rsid w:val="004837F4"/>
    <w:rsid w:val="00487701"/>
    <w:rsid w:val="004A34E2"/>
    <w:rsid w:val="004A6375"/>
    <w:rsid w:val="004A6616"/>
    <w:rsid w:val="004A757F"/>
    <w:rsid w:val="004B5E2F"/>
    <w:rsid w:val="004C4B14"/>
    <w:rsid w:val="004C7020"/>
    <w:rsid w:val="004C78F3"/>
    <w:rsid w:val="004C7E36"/>
    <w:rsid w:val="004D0B43"/>
    <w:rsid w:val="004F08DF"/>
    <w:rsid w:val="004F0FBF"/>
    <w:rsid w:val="004F2CF6"/>
    <w:rsid w:val="004F5380"/>
    <w:rsid w:val="00500798"/>
    <w:rsid w:val="0050305F"/>
    <w:rsid w:val="00504B71"/>
    <w:rsid w:val="00520122"/>
    <w:rsid w:val="00522DE7"/>
    <w:rsid w:val="005274CE"/>
    <w:rsid w:val="005317B7"/>
    <w:rsid w:val="00531A21"/>
    <w:rsid w:val="005349DF"/>
    <w:rsid w:val="00540061"/>
    <w:rsid w:val="005401B0"/>
    <w:rsid w:val="0054182F"/>
    <w:rsid w:val="00553193"/>
    <w:rsid w:val="00557180"/>
    <w:rsid w:val="005575D6"/>
    <w:rsid w:val="005576E8"/>
    <w:rsid w:val="0056553D"/>
    <w:rsid w:val="005723AE"/>
    <w:rsid w:val="0057401C"/>
    <w:rsid w:val="0057762B"/>
    <w:rsid w:val="00580607"/>
    <w:rsid w:val="0058254F"/>
    <w:rsid w:val="005849B9"/>
    <w:rsid w:val="005921C0"/>
    <w:rsid w:val="005A47DD"/>
    <w:rsid w:val="005B4E58"/>
    <w:rsid w:val="005C36A8"/>
    <w:rsid w:val="005D4889"/>
    <w:rsid w:val="005D7A87"/>
    <w:rsid w:val="005E546C"/>
    <w:rsid w:val="005F300A"/>
    <w:rsid w:val="005F35B4"/>
    <w:rsid w:val="005F4C86"/>
    <w:rsid w:val="005F5B02"/>
    <w:rsid w:val="00601204"/>
    <w:rsid w:val="00601434"/>
    <w:rsid w:val="0060486D"/>
    <w:rsid w:val="00610645"/>
    <w:rsid w:val="00613242"/>
    <w:rsid w:val="00616E35"/>
    <w:rsid w:val="00617AFA"/>
    <w:rsid w:val="00617FEF"/>
    <w:rsid w:val="0062005A"/>
    <w:rsid w:val="00623B8E"/>
    <w:rsid w:val="00633A80"/>
    <w:rsid w:val="00640E8C"/>
    <w:rsid w:val="0064517E"/>
    <w:rsid w:val="00645569"/>
    <w:rsid w:val="0064569A"/>
    <w:rsid w:val="00650051"/>
    <w:rsid w:val="006534DA"/>
    <w:rsid w:val="00657BDD"/>
    <w:rsid w:val="00660AE5"/>
    <w:rsid w:val="00661F9E"/>
    <w:rsid w:val="006646F4"/>
    <w:rsid w:val="00665F36"/>
    <w:rsid w:val="00674C88"/>
    <w:rsid w:val="006757E1"/>
    <w:rsid w:val="0068191A"/>
    <w:rsid w:val="00681935"/>
    <w:rsid w:val="00682265"/>
    <w:rsid w:val="00683C30"/>
    <w:rsid w:val="00683FA4"/>
    <w:rsid w:val="006846C4"/>
    <w:rsid w:val="00685692"/>
    <w:rsid w:val="00690785"/>
    <w:rsid w:val="006A2852"/>
    <w:rsid w:val="006A6D26"/>
    <w:rsid w:val="006B7655"/>
    <w:rsid w:val="006C7270"/>
    <w:rsid w:val="006C7601"/>
    <w:rsid w:val="006C7F7F"/>
    <w:rsid w:val="006D2320"/>
    <w:rsid w:val="006D25BE"/>
    <w:rsid w:val="006D5A13"/>
    <w:rsid w:val="006D63A1"/>
    <w:rsid w:val="006D6933"/>
    <w:rsid w:val="006E0CD6"/>
    <w:rsid w:val="006F0F03"/>
    <w:rsid w:val="006F318D"/>
    <w:rsid w:val="006F7749"/>
    <w:rsid w:val="0070116E"/>
    <w:rsid w:val="00703AA6"/>
    <w:rsid w:val="00707A90"/>
    <w:rsid w:val="0071640B"/>
    <w:rsid w:val="00740DD7"/>
    <w:rsid w:val="00743538"/>
    <w:rsid w:val="00746D1C"/>
    <w:rsid w:val="00750464"/>
    <w:rsid w:val="007519BF"/>
    <w:rsid w:val="0075356C"/>
    <w:rsid w:val="0075731B"/>
    <w:rsid w:val="00761440"/>
    <w:rsid w:val="00761B13"/>
    <w:rsid w:val="00765960"/>
    <w:rsid w:val="0076713C"/>
    <w:rsid w:val="00770A51"/>
    <w:rsid w:val="00772DA3"/>
    <w:rsid w:val="00783DF5"/>
    <w:rsid w:val="007934FC"/>
    <w:rsid w:val="00794A10"/>
    <w:rsid w:val="007952A3"/>
    <w:rsid w:val="0079531F"/>
    <w:rsid w:val="00795919"/>
    <w:rsid w:val="007A6310"/>
    <w:rsid w:val="007A7DF4"/>
    <w:rsid w:val="007B1DFD"/>
    <w:rsid w:val="007B5270"/>
    <w:rsid w:val="007B61C1"/>
    <w:rsid w:val="007C56BE"/>
    <w:rsid w:val="007C7970"/>
    <w:rsid w:val="007D0EE7"/>
    <w:rsid w:val="007D70A5"/>
    <w:rsid w:val="007D7A72"/>
    <w:rsid w:val="007E2686"/>
    <w:rsid w:val="007E2F24"/>
    <w:rsid w:val="007E478D"/>
    <w:rsid w:val="007E548B"/>
    <w:rsid w:val="007E57F7"/>
    <w:rsid w:val="007F1DCD"/>
    <w:rsid w:val="007F3F4C"/>
    <w:rsid w:val="007F4FE2"/>
    <w:rsid w:val="00801207"/>
    <w:rsid w:val="00812F11"/>
    <w:rsid w:val="008252AB"/>
    <w:rsid w:val="008320DA"/>
    <w:rsid w:val="00832A72"/>
    <w:rsid w:val="00832FB2"/>
    <w:rsid w:val="00834184"/>
    <w:rsid w:val="008430D8"/>
    <w:rsid w:val="008432F1"/>
    <w:rsid w:val="00850245"/>
    <w:rsid w:val="008536E5"/>
    <w:rsid w:val="008548C4"/>
    <w:rsid w:val="00857B87"/>
    <w:rsid w:val="0086064C"/>
    <w:rsid w:val="00867B04"/>
    <w:rsid w:val="00874AF6"/>
    <w:rsid w:val="008809C9"/>
    <w:rsid w:val="008867FA"/>
    <w:rsid w:val="008871AA"/>
    <w:rsid w:val="00894774"/>
    <w:rsid w:val="008A00FB"/>
    <w:rsid w:val="008A0435"/>
    <w:rsid w:val="008A2019"/>
    <w:rsid w:val="008A243D"/>
    <w:rsid w:val="008A38C2"/>
    <w:rsid w:val="008A4AAF"/>
    <w:rsid w:val="008A7867"/>
    <w:rsid w:val="008B16E2"/>
    <w:rsid w:val="008B2BA4"/>
    <w:rsid w:val="008C24DB"/>
    <w:rsid w:val="008D220A"/>
    <w:rsid w:val="008E0720"/>
    <w:rsid w:val="008E2BA2"/>
    <w:rsid w:val="008E3D45"/>
    <w:rsid w:val="008E5CBF"/>
    <w:rsid w:val="008E7210"/>
    <w:rsid w:val="0090278B"/>
    <w:rsid w:val="00906F73"/>
    <w:rsid w:val="00920A61"/>
    <w:rsid w:val="009210AA"/>
    <w:rsid w:val="009249EB"/>
    <w:rsid w:val="009255B7"/>
    <w:rsid w:val="00927541"/>
    <w:rsid w:val="00937813"/>
    <w:rsid w:val="0094054D"/>
    <w:rsid w:val="009408B8"/>
    <w:rsid w:val="00941584"/>
    <w:rsid w:val="00957124"/>
    <w:rsid w:val="009645FB"/>
    <w:rsid w:val="00974AE8"/>
    <w:rsid w:val="00975C95"/>
    <w:rsid w:val="009765C9"/>
    <w:rsid w:val="00982752"/>
    <w:rsid w:val="00987F51"/>
    <w:rsid w:val="009905D5"/>
    <w:rsid w:val="009907EE"/>
    <w:rsid w:val="009A4F33"/>
    <w:rsid w:val="009B063B"/>
    <w:rsid w:val="009B6CB2"/>
    <w:rsid w:val="009B784C"/>
    <w:rsid w:val="009D1079"/>
    <w:rsid w:val="009D5EFD"/>
    <w:rsid w:val="009E4F69"/>
    <w:rsid w:val="009F40FF"/>
    <w:rsid w:val="00A050B1"/>
    <w:rsid w:val="00A0560A"/>
    <w:rsid w:val="00A06E6A"/>
    <w:rsid w:val="00A1380F"/>
    <w:rsid w:val="00A13C3E"/>
    <w:rsid w:val="00A15685"/>
    <w:rsid w:val="00A15BBF"/>
    <w:rsid w:val="00A336E6"/>
    <w:rsid w:val="00A3500D"/>
    <w:rsid w:val="00A45545"/>
    <w:rsid w:val="00A51AAE"/>
    <w:rsid w:val="00A5450C"/>
    <w:rsid w:val="00A5543C"/>
    <w:rsid w:val="00A55895"/>
    <w:rsid w:val="00A56D59"/>
    <w:rsid w:val="00A72527"/>
    <w:rsid w:val="00A83893"/>
    <w:rsid w:val="00A8690C"/>
    <w:rsid w:val="00A92B7C"/>
    <w:rsid w:val="00A94840"/>
    <w:rsid w:val="00AA4BA1"/>
    <w:rsid w:val="00AB3A14"/>
    <w:rsid w:val="00AB509E"/>
    <w:rsid w:val="00AB6809"/>
    <w:rsid w:val="00AC33F2"/>
    <w:rsid w:val="00AC3DE2"/>
    <w:rsid w:val="00AD3D9B"/>
    <w:rsid w:val="00AD3E62"/>
    <w:rsid w:val="00AD4339"/>
    <w:rsid w:val="00AD58B2"/>
    <w:rsid w:val="00AE1C6C"/>
    <w:rsid w:val="00AF5921"/>
    <w:rsid w:val="00AF5986"/>
    <w:rsid w:val="00AF788C"/>
    <w:rsid w:val="00AF7D47"/>
    <w:rsid w:val="00B0179D"/>
    <w:rsid w:val="00B01FEF"/>
    <w:rsid w:val="00B03D29"/>
    <w:rsid w:val="00B052AE"/>
    <w:rsid w:val="00B06168"/>
    <w:rsid w:val="00B06F86"/>
    <w:rsid w:val="00B11009"/>
    <w:rsid w:val="00B15A03"/>
    <w:rsid w:val="00B15BEA"/>
    <w:rsid w:val="00B31202"/>
    <w:rsid w:val="00B327CA"/>
    <w:rsid w:val="00B35D31"/>
    <w:rsid w:val="00B515C3"/>
    <w:rsid w:val="00B56067"/>
    <w:rsid w:val="00B61E84"/>
    <w:rsid w:val="00B63119"/>
    <w:rsid w:val="00B64F4E"/>
    <w:rsid w:val="00B65DCE"/>
    <w:rsid w:val="00B74186"/>
    <w:rsid w:val="00B9278A"/>
    <w:rsid w:val="00B93670"/>
    <w:rsid w:val="00B9413E"/>
    <w:rsid w:val="00BA4690"/>
    <w:rsid w:val="00BA5CC8"/>
    <w:rsid w:val="00BB005E"/>
    <w:rsid w:val="00BB49E4"/>
    <w:rsid w:val="00BB64AF"/>
    <w:rsid w:val="00BC26EA"/>
    <w:rsid w:val="00BC67DB"/>
    <w:rsid w:val="00BC766A"/>
    <w:rsid w:val="00BD0BAD"/>
    <w:rsid w:val="00BD23F1"/>
    <w:rsid w:val="00BD631B"/>
    <w:rsid w:val="00BE3E13"/>
    <w:rsid w:val="00BF068B"/>
    <w:rsid w:val="00BF4115"/>
    <w:rsid w:val="00BF592D"/>
    <w:rsid w:val="00BF7135"/>
    <w:rsid w:val="00C0394F"/>
    <w:rsid w:val="00C049DC"/>
    <w:rsid w:val="00C050B1"/>
    <w:rsid w:val="00C123D2"/>
    <w:rsid w:val="00C13106"/>
    <w:rsid w:val="00C24CD3"/>
    <w:rsid w:val="00C26A07"/>
    <w:rsid w:val="00C26CEF"/>
    <w:rsid w:val="00C31862"/>
    <w:rsid w:val="00C4074D"/>
    <w:rsid w:val="00C456A3"/>
    <w:rsid w:val="00C65A14"/>
    <w:rsid w:val="00C65FBA"/>
    <w:rsid w:val="00C7176B"/>
    <w:rsid w:val="00C73DCF"/>
    <w:rsid w:val="00C8010B"/>
    <w:rsid w:val="00C80C98"/>
    <w:rsid w:val="00C83CB9"/>
    <w:rsid w:val="00C8571E"/>
    <w:rsid w:val="00C86197"/>
    <w:rsid w:val="00C902DE"/>
    <w:rsid w:val="00C946A9"/>
    <w:rsid w:val="00C950FA"/>
    <w:rsid w:val="00CA06F9"/>
    <w:rsid w:val="00CB1061"/>
    <w:rsid w:val="00CB244C"/>
    <w:rsid w:val="00CC324D"/>
    <w:rsid w:val="00CC57CC"/>
    <w:rsid w:val="00CC6744"/>
    <w:rsid w:val="00CC6F1E"/>
    <w:rsid w:val="00CD15E1"/>
    <w:rsid w:val="00CF1389"/>
    <w:rsid w:val="00CF2BC0"/>
    <w:rsid w:val="00D0001A"/>
    <w:rsid w:val="00D00FFA"/>
    <w:rsid w:val="00D04D32"/>
    <w:rsid w:val="00D1173B"/>
    <w:rsid w:val="00D204BF"/>
    <w:rsid w:val="00D2430F"/>
    <w:rsid w:val="00D338D0"/>
    <w:rsid w:val="00D41572"/>
    <w:rsid w:val="00D423CE"/>
    <w:rsid w:val="00D45C61"/>
    <w:rsid w:val="00D5636B"/>
    <w:rsid w:val="00D63314"/>
    <w:rsid w:val="00D71B62"/>
    <w:rsid w:val="00D71BB1"/>
    <w:rsid w:val="00D72FE0"/>
    <w:rsid w:val="00D84882"/>
    <w:rsid w:val="00D87D85"/>
    <w:rsid w:val="00D96E61"/>
    <w:rsid w:val="00DA2154"/>
    <w:rsid w:val="00DA540A"/>
    <w:rsid w:val="00DA6CA7"/>
    <w:rsid w:val="00DB74CA"/>
    <w:rsid w:val="00DC6E74"/>
    <w:rsid w:val="00DD616F"/>
    <w:rsid w:val="00DD6306"/>
    <w:rsid w:val="00DF0E71"/>
    <w:rsid w:val="00DF287A"/>
    <w:rsid w:val="00DF6D2C"/>
    <w:rsid w:val="00E00CE9"/>
    <w:rsid w:val="00E06946"/>
    <w:rsid w:val="00E075B2"/>
    <w:rsid w:val="00E13671"/>
    <w:rsid w:val="00E20171"/>
    <w:rsid w:val="00E25E1A"/>
    <w:rsid w:val="00E269A6"/>
    <w:rsid w:val="00E31997"/>
    <w:rsid w:val="00E34EF8"/>
    <w:rsid w:val="00E445B5"/>
    <w:rsid w:val="00E4586F"/>
    <w:rsid w:val="00E50C5F"/>
    <w:rsid w:val="00E54C6D"/>
    <w:rsid w:val="00E62A7F"/>
    <w:rsid w:val="00E6662F"/>
    <w:rsid w:val="00E6709A"/>
    <w:rsid w:val="00E678D7"/>
    <w:rsid w:val="00E70EB6"/>
    <w:rsid w:val="00E74E77"/>
    <w:rsid w:val="00E779FF"/>
    <w:rsid w:val="00E83533"/>
    <w:rsid w:val="00E86770"/>
    <w:rsid w:val="00E87374"/>
    <w:rsid w:val="00E92265"/>
    <w:rsid w:val="00E923D4"/>
    <w:rsid w:val="00E95854"/>
    <w:rsid w:val="00EA1E78"/>
    <w:rsid w:val="00EA2E1B"/>
    <w:rsid w:val="00EA7F9F"/>
    <w:rsid w:val="00EB60E1"/>
    <w:rsid w:val="00EC5A44"/>
    <w:rsid w:val="00EE4590"/>
    <w:rsid w:val="00EE512F"/>
    <w:rsid w:val="00EF41AB"/>
    <w:rsid w:val="00EF48D1"/>
    <w:rsid w:val="00EF4EEE"/>
    <w:rsid w:val="00F02F71"/>
    <w:rsid w:val="00F051A1"/>
    <w:rsid w:val="00F075EF"/>
    <w:rsid w:val="00F13940"/>
    <w:rsid w:val="00F23142"/>
    <w:rsid w:val="00F324E8"/>
    <w:rsid w:val="00F32FA7"/>
    <w:rsid w:val="00F34E3D"/>
    <w:rsid w:val="00F36E96"/>
    <w:rsid w:val="00F4039C"/>
    <w:rsid w:val="00F45220"/>
    <w:rsid w:val="00F5680E"/>
    <w:rsid w:val="00F7475E"/>
    <w:rsid w:val="00F81C26"/>
    <w:rsid w:val="00F85035"/>
    <w:rsid w:val="00F87F75"/>
    <w:rsid w:val="00F90609"/>
    <w:rsid w:val="00FA5505"/>
    <w:rsid w:val="00FA5EA2"/>
    <w:rsid w:val="00FA5F51"/>
    <w:rsid w:val="00FA6D32"/>
    <w:rsid w:val="00FB0B73"/>
    <w:rsid w:val="00FB55CF"/>
    <w:rsid w:val="00FC0B20"/>
    <w:rsid w:val="00FC15AC"/>
    <w:rsid w:val="00FC3E3B"/>
    <w:rsid w:val="00FD1769"/>
    <w:rsid w:val="00FD3946"/>
    <w:rsid w:val="00FE6D81"/>
    <w:rsid w:val="00FE73FB"/>
    <w:rsid w:val="00FF16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CBCC39"/>
  <w15:docId w15:val="{FD02946F-2A7A-42A0-808D-748339C3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670"/>
    <w:pPr>
      <w:spacing w:line="240" w:lineRule="auto"/>
    </w:pPr>
    <w:rPr>
      <w:rFonts w:ascii="Times New Roman" w:hAnsi="Times New Roman"/>
      <w:sz w:val="28"/>
      <w:lang w:val="ru-RU"/>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lang w:val="ru-RU"/>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lang w:val="ru-RU"/>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lang w:val="ru-RU"/>
    </w:rPr>
  </w:style>
  <w:style w:type="character" w:customStyle="1" w:styleId="40">
    <w:name w:val="Заголовок 4 Знак"/>
    <w:basedOn w:val="a0"/>
    <w:link w:val="4"/>
    <w:uiPriority w:val="9"/>
    <w:semiHidden/>
    <w:rPr>
      <w:rFonts w:eastAsiaTheme="majorEastAsia" w:cstheme="majorBidi"/>
      <w:i/>
      <w:iCs/>
      <w:color w:val="2F5496" w:themeColor="accent1" w:themeShade="BF"/>
      <w:sz w:val="28"/>
      <w:lang w:val="ru-RU"/>
    </w:rPr>
  </w:style>
  <w:style w:type="character" w:customStyle="1" w:styleId="50">
    <w:name w:val="Заголовок 5 Знак"/>
    <w:basedOn w:val="a0"/>
    <w:link w:val="5"/>
    <w:uiPriority w:val="9"/>
    <w:semiHidden/>
    <w:rPr>
      <w:rFonts w:eastAsiaTheme="majorEastAsia" w:cstheme="majorBidi"/>
      <w:color w:val="2F5496" w:themeColor="accent1" w:themeShade="BF"/>
      <w:sz w:val="28"/>
      <w:lang w:val="ru-RU"/>
    </w:rPr>
  </w:style>
  <w:style w:type="character" w:customStyle="1" w:styleId="60">
    <w:name w:val="Заголовок 6 Знак"/>
    <w:basedOn w:val="a0"/>
    <w:link w:val="6"/>
    <w:uiPriority w:val="9"/>
    <w:semiHidden/>
    <w:rPr>
      <w:rFonts w:eastAsiaTheme="majorEastAsia" w:cstheme="majorBidi"/>
      <w:i/>
      <w:iCs/>
      <w:color w:val="595959" w:themeColor="text1" w:themeTint="A6"/>
      <w:sz w:val="28"/>
      <w:lang w:val="ru-RU"/>
    </w:rPr>
  </w:style>
  <w:style w:type="character" w:customStyle="1" w:styleId="70">
    <w:name w:val="Заголовок 7 Знак"/>
    <w:basedOn w:val="a0"/>
    <w:link w:val="7"/>
    <w:uiPriority w:val="9"/>
    <w:semiHidden/>
    <w:rPr>
      <w:rFonts w:eastAsiaTheme="majorEastAsia" w:cstheme="majorBidi"/>
      <w:color w:val="595959" w:themeColor="text1" w:themeTint="A6"/>
      <w:sz w:val="28"/>
      <w:lang w:val="ru-RU"/>
    </w:rPr>
  </w:style>
  <w:style w:type="character" w:customStyle="1" w:styleId="80">
    <w:name w:val="Заголовок 8 Знак"/>
    <w:basedOn w:val="a0"/>
    <w:link w:val="8"/>
    <w:uiPriority w:val="9"/>
    <w:semiHidden/>
    <w:rPr>
      <w:rFonts w:eastAsiaTheme="majorEastAsia" w:cstheme="majorBidi"/>
      <w:i/>
      <w:iCs/>
      <w:color w:val="272727" w:themeColor="text1" w:themeTint="D8"/>
      <w:sz w:val="28"/>
      <w:lang w:val="ru-RU"/>
    </w:rPr>
  </w:style>
  <w:style w:type="character" w:customStyle="1" w:styleId="90">
    <w:name w:val="Заголовок 9 Знак"/>
    <w:basedOn w:val="a0"/>
    <w:link w:val="9"/>
    <w:uiPriority w:val="9"/>
    <w:semiHidden/>
    <w:rPr>
      <w:rFonts w:eastAsiaTheme="majorEastAsia" w:cstheme="majorBidi"/>
      <w:color w:val="272727" w:themeColor="text1" w:themeTint="D8"/>
      <w:sz w:val="28"/>
      <w:lang w:val="ru-RU"/>
    </w:rPr>
  </w:style>
  <w:style w:type="table" w:styleId="a3">
    <w:name w:val="Grid Table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en-US"/>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qFormat/>
    <w:rPr>
      <w:rFonts w:ascii="Arial" w:eastAsia="Arial" w:hAnsi="Arial" w:cs="Arial"/>
      <w:color w:val="2F5496" w:themeColor="accent1" w:themeShade="BF"/>
      <w:sz w:val="40"/>
      <w:szCs w:val="40"/>
    </w:rPr>
  </w:style>
  <w:style w:type="character" w:customStyle="1" w:styleId="Heading2Char">
    <w:name w:val="Heading 2 Char"/>
    <w:basedOn w:val="a0"/>
    <w:uiPriority w:val="9"/>
    <w:qFormat/>
    <w:rPr>
      <w:rFonts w:ascii="Arial" w:eastAsia="Arial" w:hAnsi="Arial" w:cs="Arial"/>
      <w:color w:val="2F5496" w:themeColor="accent1" w:themeShade="BF"/>
      <w:sz w:val="32"/>
      <w:szCs w:val="32"/>
    </w:rPr>
  </w:style>
  <w:style w:type="character" w:customStyle="1" w:styleId="Heading3Char">
    <w:name w:val="Heading 3 Char"/>
    <w:basedOn w:val="a0"/>
    <w:uiPriority w:val="9"/>
    <w:qFormat/>
    <w:rPr>
      <w:rFonts w:ascii="Arial" w:eastAsia="Arial" w:hAnsi="Arial" w:cs="Arial"/>
      <w:color w:val="2F5496" w:themeColor="accent1" w:themeShade="BF"/>
      <w:sz w:val="28"/>
      <w:szCs w:val="28"/>
    </w:rPr>
  </w:style>
  <w:style w:type="character" w:customStyle="1" w:styleId="Heading4Char">
    <w:name w:val="Heading 4 Char"/>
    <w:basedOn w:val="a0"/>
    <w:uiPriority w:val="9"/>
    <w:qFormat/>
    <w:rPr>
      <w:rFonts w:ascii="Arial" w:eastAsia="Arial" w:hAnsi="Arial" w:cs="Arial"/>
      <w:i/>
      <w:iCs/>
      <w:color w:val="2F5496" w:themeColor="accent1" w:themeShade="BF"/>
    </w:rPr>
  </w:style>
  <w:style w:type="character" w:customStyle="1" w:styleId="Heading5Char">
    <w:name w:val="Heading 5 Char"/>
    <w:basedOn w:val="a0"/>
    <w:uiPriority w:val="9"/>
    <w:rPr>
      <w:rFonts w:ascii="Arial" w:eastAsia="Arial" w:hAnsi="Arial" w:cs="Arial"/>
      <w:color w:val="2F5496"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qFormat/>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F5496" w:themeColor="accent1" w:themeShade="BF"/>
    </w:rPr>
  </w:style>
  <w:style w:type="character" w:styleId="a4">
    <w:name w:val="Subtle Emphasis"/>
    <w:basedOn w:val="a0"/>
    <w:uiPriority w:val="19"/>
    <w:qFormat/>
    <w:rPr>
      <w:i/>
      <w:iCs/>
      <w:color w:val="404040" w:themeColor="text1" w:themeTint="BF"/>
    </w:rPr>
  </w:style>
  <w:style w:type="character" w:styleId="a5">
    <w:name w:val="Emphasis"/>
    <w:basedOn w:val="a0"/>
    <w:uiPriority w:val="20"/>
    <w:qFormat/>
    <w:rPr>
      <w:i/>
      <w:iCs/>
    </w:rPr>
  </w:style>
  <w:style w:type="character" w:styleId="a6">
    <w:name w:val="Strong"/>
    <w:basedOn w:val="a0"/>
    <w:uiPriority w:val="22"/>
    <w:qFormat/>
    <w:rPr>
      <w:b/>
      <w:bCs/>
    </w:rPr>
  </w:style>
  <w:style w:type="character" w:styleId="a7">
    <w:name w:val="Subtle Reference"/>
    <w:basedOn w:val="a0"/>
    <w:uiPriority w:val="31"/>
    <w:qFormat/>
    <w:rPr>
      <w:smallCaps/>
      <w:color w:val="5A5A5A" w:themeColor="text1" w:themeTint="A5"/>
    </w:rPr>
  </w:style>
  <w:style w:type="character" w:styleId="a8">
    <w:name w:val="Book Title"/>
    <w:basedOn w:val="a0"/>
    <w:uiPriority w:val="33"/>
    <w:qFormat/>
    <w:rPr>
      <w:b/>
      <w:bCs/>
      <w:i/>
      <w:iCs/>
      <w:spacing w:val="5"/>
    </w:rPr>
  </w:style>
  <w:style w:type="paragraph" w:styleId="a9">
    <w:name w:val="header"/>
    <w:basedOn w:val="a"/>
    <w:link w:val="aa"/>
    <w:uiPriority w:val="99"/>
    <w:unhideWhenUsed/>
    <w:qFormat/>
    <w:pPr>
      <w:tabs>
        <w:tab w:val="center" w:pos="4844"/>
        <w:tab w:val="right" w:pos="9689"/>
      </w:tabs>
      <w:spacing w:after="0"/>
    </w:pPr>
  </w:style>
  <w:style w:type="character" w:customStyle="1" w:styleId="aa">
    <w:name w:val="Верхний колонтитул Знак"/>
    <w:basedOn w:val="a0"/>
    <w:link w:val="a9"/>
    <w:uiPriority w:val="99"/>
    <w:qFormat/>
  </w:style>
  <w:style w:type="paragraph" w:styleId="ab">
    <w:name w:val="footer"/>
    <w:basedOn w:val="a"/>
    <w:link w:val="ac"/>
    <w:uiPriority w:val="99"/>
    <w:unhideWhenUsed/>
    <w:qFormat/>
    <w:pPr>
      <w:tabs>
        <w:tab w:val="center" w:pos="4844"/>
        <w:tab w:val="right" w:pos="9689"/>
      </w:tabs>
      <w:spacing w:after="0"/>
    </w:pPr>
  </w:style>
  <w:style w:type="character" w:customStyle="1" w:styleId="ac">
    <w:name w:val="Нижний колонтитул Знак"/>
    <w:basedOn w:val="a0"/>
    <w:link w:val="ab"/>
    <w:uiPriority w:val="99"/>
    <w:qFormat/>
  </w:style>
  <w:style w:type="paragraph" w:styleId="ad">
    <w:name w:val="caption"/>
    <w:basedOn w:val="a"/>
    <w:next w:val="a"/>
    <w:uiPriority w:val="35"/>
    <w:unhideWhenUsed/>
    <w:qFormat/>
    <w:pPr>
      <w:spacing w:after="200"/>
    </w:pPr>
    <w:rPr>
      <w:i/>
      <w:iCs/>
      <w:color w:val="44546A" w:themeColor="text2"/>
      <w:sz w:val="18"/>
      <w:szCs w:val="18"/>
    </w:rPr>
  </w:style>
  <w:style w:type="character" w:customStyle="1" w:styleId="FootnoteTextChar">
    <w:name w:val="Footnote Text Char"/>
    <w:basedOn w:val="a0"/>
    <w:uiPriority w:val="99"/>
    <w:semiHidden/>
    <w:qFormat/>
    <w:rPr>
      <w:sz w:val="20"/>
      <w:szCs w:val="20"/>
    </w:rPr>
  </w:style>
  <w:style w:type="paragraph" w:styleId="ae">
    <w:name w:val="endnote text"/>
    <w:basedOn w:val="a"/>
    <w:link w:val="af"/>
    <w:uiPriority w:val="99"/>
    <w:semiHidden/>
    <w:unhideWhenUsed/>
    <w:pPr>
      <w:spacing w:after="0"/>
    </w:pPr>
    <w:rPr>
      <w:sz w:val="20"/>
      <w:szCs w:val="20"/>
    </w:rPr>
  </w:style>
  <w:style w:type="character" w:customStyle="1" w:styleId="af">
    <w:name w:val="Текст концевой сноски Знак"/>
    <w:basedOn w:val="a0"/>
    <w:link w:val="ae"/>
    <w:uiPriority w:val="99"/>
    <w:semiHidden/>
    <w:rPr>
      <w:sz w:val="20"/>
      <w:szCs w:val="20"/>
    </w:rPr>
  </w:style>
  <w:style w:type="character" w:styleId="af0">
    <w:name w:val="endnote reference"/>
    <w:basedOn w:val="a0"/>
    <w:uiPriority w:val="99"/>
    <w:semiHidden/>
    <w:unhideWhenUsed/>
    <w:rPr>
      <w:vertAlign w:val="superscript"/>
    </w:rPr>
  </w:style>
  <w:style w:type="character" w:styleId="af1">
    <w:name w:val="Hyperlink"/>
    <w:basedOn w:val="a0"/>
    <w:uiPriority w:val="99"/>
    <w:unhideWhenUsed/>
    <w:qFormat/>
    <w:rPr>
      <w:color w:val="0563C1" w:themeColor="hyperlink"/>
      <w:u w:val="single"/>
    </w:rPr>
  </w:style>
  <w:style w:type="character" w:styleId="af2">
    <w:name w:val="FollowedHyperlink"/>
    <w:basedOn w:val="a0"/>
    <w:uiPriority w:val="99"/>
    <w:semiHidden/>
    <w:unhideWhenUsed/>
    <w:qFormat/>
    <w:rPr>
      <w:color w:val="954F72" w:themeColor="followedHyperlink"/>
      <w:u w:val="single"/>
    </w:r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styleId="af5">
    <w:name w:val="Title"/>
    <w:basedOn w:val="a"/>
    <w:next w:val="a"/>
    <w:link w:val="af6"/>
    <w:uiPriority w:val="10"/>
    <w:qFormat/>
    <w:pPr>
      <w:spacing w:after="80"/>
      <w:contextualSpacing/>
    </w:pPr>
    <w:rPr>
      <w:rFonts w:asciiTheme="majorHAnsi" w:eastAsiaTheme="majorEastAsia" w:hAnsiTheme="majorHAnsi" w:cstheme="majorBidi"/>
      <w:spacing w:val="-10"/>
      <w:sz w:val="56"/>
      <w:szCs w:val="56"/>
    </w:rPr>
  </w:style>
  <w:style w:type="character" w:customStyle="1" w:styleId="af6">
    <w:name w:val="Заголовок Знак"/>
    <w:basedOn w:val="a0"/>
    <w:link w:val="af5"/>
    <w:uiPriority w:val="10"/>
    <w:rPr>
      <w:rFonts w:asciiTheme="majorHAnsi" w:eastAsiaTheme="majorEastAsia" w:hAnsiTheme="majorHAnsi" w:cstheme="majorBidi"/>
      <w:spacing w:val="-10"/>
      <w:sz w:val="56"/>
      <w:szCs w:val="56"/>
      <w:lang w:val="ru-RU"/>
    </w:rPr>
  </w:style>
  <w:style w:type="paragraph" w:styleId="af7">
    <w:name w:val="Subtitle"/>
    <w:basedOn w:val="a"/>
    <w:next w:val="a"/>
    <w:link w:val="af8"/>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af8">
    <w:name w:val="Подзаголовок Знак"/>
    <w:basedOn w:val="a0"/>
    <w:link w:val="af7"/>
    <w:uiPriority w:val="11"/>
    <w:rPr>
      <w:rFonts w:eastAsiaTheme="majorEastAsia" w:cstheme="majorBidi"/>
      <w:color w:val="595959" w:themeColor="text1" w:themeTint="A6"/>
      <w:spacing w:val="15"/>
      <w:sz w:val="28"/>
      <w:szCs w:val="28"/>
      <w:lang w:val="ru-RU"/>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rFonts w:ascii="Times New Roman" w:hAnsi="Times New Roman"/>
      <w:i/>
      <w:iCs/>
      <w:color w:val="404040" w:themeColor="text1" w:themeTint="BF"/>
      <w:sz w:val="28"/>
      <w:lang w:val="ru-RU"/>
    </w:rPr>
  </w:style>
  <w:style w:type="paragraph" w:styleId="af9">
    <w:name w:val="List Paragraph"/>
    <w:aliases w:val="References,NUMBERED PARAGRAPH,List Paragraph 1,Bullets,List_Paragraph,Multilevel para_II"/>
    <w:basedOn w:val="a"/>
    <w:link w:val="12"/>
    <w:uiPriority w:val="34"/>
    <w:qFormat/>
    <w:pPr>
      <w:ind w:left="720"/>
      <w:contextualSpacing/>
    </w:pPr>
  </w:style>
  <w:style w:type="character" w:customStyle="1" w:styleId="12">
    <w:name w:val="Абзац списка Знак1"/>
    <w:aliases w:val="References Знак,NUMBERED PARAGRAPH Знак,List Paragraph 1 Знак,Bullets Знак,List_Paragraph Знак,Multilevel para_II Знак"/>
    <w:link w:val="af9"/>
    <w:uiPriority w:val="34"/>
    <w:qFormat/>
    <w:locked/>
    <w:rsid w:val="00F32FA7"/>
    <w:rPr>
      <w:rFonts w:ascii="Times New Roman" w:hAnsi="Times New Roman"/>
      <w:sz w:val="28"/>
      <w:lang w:val="ru-RU"/>
    </w:rPr>
  </w:style>
  <w:style w:type="character" w:styleId="afa">
    <w:name w:val="Intense Emphasis"/>
    <w:basedOn w:val="a0"/>
    <w:uiPriority w:val="21"/>
    <w:qFormat/>
    <w:rPr>
      <w:i/>
      <w:iCs/>
      <w:color w:val="2F5496" w:themeColor="accent1" w:themeShade="BF"/>
    </w:rPr>
  </w:style>
  <w:style w:type="paragraph" w:styleId="afb">
    <w:name w:val="Intense Quote"/>
    <w:basedOn w:val="a"/>
    <w:next w:val="a"/>
    <w:link w:val="af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c">
    <w:name w:val="Выделенная цитата Знак"/>
    <w:basedOn w:val="a0"/>
    <w:link w:val="afb"/>
    <w:uiPriority w:val="30"/>
    <w:rPr>
      <w:rFonts w:ascii="Times New Roman" w:hAnsi="Times New Roman"/>
      <w:i/>
      <w:iCs/>
      <w:color w:val="2F5496" w:themeColor="accent1" w:themeShade="BF"/>
      <w:sz w:val="28"/>
      <w:lang w:val="ru-RU"/>
    </w:rPr>
  </w:style>
  <w:style w:type="character" w:styleId="afd">
    <w:name w:val="Intense Reference"/>
    <w:basedOn w:val="a0"/>
    <w:uiPriority w:val="32"/>
    <w:qFormat/>
    <w:rPr>
      <w:b/>
      <w:bCs/>
      <w:smallCaps/>
      <w:color w:val="2F5496" w:themeColor="accent1" w:themeShade="BF"/>
      <w:spacing w:val="5"/>
    </w:rPr>
  </w:style>
  <w:style w:type="paragraph" w:styleId="afe">
    <w:name w:val="No Spacing"/>
    <w:basedOn w:val="a"/>
    <w:link w:val="aff"/>
    <w:uiPriority w:val="1"/>
    <w:qFormat/>
    <w:pPr>
      <w:spacing w:after="0"/>
    </w:pPr>
    <w:rPr>
      <w:rFonts w:asciiTheme="minorHAnsi" w:eastAsiaTheme="minorEastAsia" w:hAnsiTheme="minorHAnsi" w:cs="Times New Roman"/>
      <w:sz w:val="24"/>
      <w:szCs w:val="32"/>
      <w14:ligatures w14:val="none"/>
    </w:rPr>
  </w:style>
  <w:style w:type="character" w:customStyle="1" w:styleId="aff">
    <w:name w:val="Без интервала Знак"/>
    <w:link w:val="afe"/>
    <w:uiPriority w:val="1"/>
    <w:rPr>
      <w:rFonts w:eastAsiaTheme="minorEastAsia" w:cs="Times New Roman"/>
      <w:sz w:val="24"/>
      <w:szCs w:val="32"/>
      <w:lang w:val="ru-RU"/>
      <w14:ligatures w14:val="none"/>
    </w:rPr>
  </w:style>
  <w:style w:type="paragraph" w:customStyle="1" w:styleId="Sergiu">
    <w:name w:val="Sergiu"/>
    <w:basedOn w:val="af9"/>
    <w:link w:val="Sergiu0"/>
    <w:qFormat/>
    <w:pPr>
      <w:spacing w:after="0"/>
      <w:ind w:left="0" w:firstLine="709"/>
    </w:pPr>
    <w:rPr>
      <w:rFonts w:eastAsia="SimSun" w:cs="Times New Roman"/>
      <w:sz w:val="24"/>
      <w14:ligatures w14:val="none"/>
    </w:rPr>
  </w:style>
  <w:style w:type="character" w:customStyle="1" w:styleId="Sergiu0">
    <w:name w:val="Sergiu Знак"/>
    <w:basedOn w:val="a0"/>
    <w:link w:val="Sergiu"/>
    <w:rPr>
      <w:rFonts w:ascii="Times New Roman" w:eastAsia="SimSun" w:hAnsi="Times New Roman" w:cs="Times New Roman"/>
      <w:sz w:val="24"/>
      <w:lang w:val="ru-RU"/>
      <w14:ligatures w14:val="none"/>
    </w:rPr>
  </w:style>
  <w:style w:type="table" w:styleId="aff0">
    <w:name w:val="Table Grid"/>
    <w:basedOn w:val="a1"/>
    <w:uiPriority w:val="39"/>
    <w:qFormat/>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footnote text"/>
    <w:basedOn w:val="a"/>
    <w:link w:val="aff2"/>
    <w:uiPriority w:val="99"/>
    <w:semiHidden/>
    <w:unhideWhenUsed/>
    <w:qFormat/>
    <w:pPr>
      <w:spacing w:after="0"/>
    </w:pPr>
    <w:rPr>
      <w:rFonts w:asciiTheme="minorHAnsi" w:eastAsia="SimSun" w:hAnsiTheme="minorHAnsi" w:cs="Times New Roman"/>
      <w:sz w:val="20"/>
      <w:szCs w:val="20"/>
      <w14:ligatures w14:val="none"/>
    </w:rPr>
  </w:style>
  <w:style w:type="character" w:customStyle="1" w:styleId="aff2">
    <w:name w:val="Текст сноски Знак"/>
    <w:basedOn w:val="a0"/>
    <w:link w:val="aff1"/>
    <w:uiPriority w:val="99"/>
    <w:semiHidden/>
    <w:rPr>
      <w:rFonts w:eastAsia="SimSun" w:cs="Times New Roman"/>
      <w:sz w:val="20"/>
      <w:szCs w:val="20"/>
      <w:lang w:val="ru-RU"/>
      <w14:ligatures w14:val="none"/>
    </w:rPr>
  </w:style>
  <w:style w:type="character" w:styleId="aff3">
    <w:name w:val="footnote reference"/>
    <w:basedOn w:val="a0"/>
    <w:uiPriority w:val="99"/>
    <w:unhideWhenUsed/>
    <w:qFormat/>
    <w:rPr>
      <w:rFonts w:cs="Times New Roman"/>
      <w:vertAlign w:val="superscript"/>
    </w:rPr>
  </w:style>
  <w:style w:type="table" w:customStyle="1" w:styleId="GrilTabel1">
    <w:name w:val="Grilă Tabel1"/>
    <w:basedOn w:val="a1"/>
    <w:next w:val="aff0"/>
    <w:uiPriority w:val="59"/>
    <w:pPr>
      <w:spacing w:after="0" w:line="240" w:lineRule="auto"/>
      <w:ind w:firstLine="709"/>
      <w:jc w:val="both"/>
    </w:pPr>
    <w:rPr>
      <w:rFonts w:ascii="Calibri" w:eastAsia="Times New Roman"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1"/>
    <w:next w:val="aff0"/>
    <w:uiPriority w:val="39"/>
    <w:pPr>
      <w:spacing w:after="0" w:line="240" w:lineRule="auto"/>
      <w:ind w:firstLine="709"/>
      <w:jc w:val="both"/>
    </w:pPr>
    <w:rPr>
      <w:rFonts w:ascii="Calibri" w:eastAsia="Times New Roman" w:hAnsi="Calibri" w:cs="Times New Roman"/>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Balloon Text"/>
    <w:basedOn w:val="a"/>
    <w:link w:val="aff5"/>
    <w:uiPriority w:val="99"/>
    <w:semiHidden/>
    <w:unhideWhenUsed/>
    <w:qFormat/>
    <w:pPr>
      <w:spacing w:after="0"/>
    </w:pPr>
    <w:rPr>
      <w:rFonts w:ascii="Segoe UI" w:hAnsi="Segoe UI" w:cs="Segoe UI"/>
      <w:sz w:val="18"/>
      <w:szCs w:val="18"/>
    </w:rPr>
  </w:style>
  <w:style w:type="character" w:customStyle="1" w:styleId="aff5">
    <w:name w:val="Текст выноски Знак"/>
    <w:basedOn w:val="a0"/>
    <w:link w:val="aff4"/>
    <w:uiPriority w:val="99"/>
    <w:semiHidden/>
    <w:qFormat/>
    <w:rPr>
      <w:rFonts w:ascii="Segoe UI" w:hAnsi="Segoe UI" w:cs="Segoe UI"/>
      <w:sz w:val="18"/>
      <w:szCs w:val="18"/>
      <w:lang w:val="ru-RU"/>
    </w:rPr>
  </w:style>
  <w:style w:type="paragraph" w:styleId="aff6">
    <w:name w:val="Revision"/>
    <w:hidden/>
    <w:uiPriority w:val="99"/>
    <w:semiHidden/>
    <w:pPr>
      <w:spacing w:after="0" w:line="240" w:lineRule="auto"/>
    </w:pPr>
    <w:rPr>
      <w:rFonts w:ascii="Times New Roman" w:hAnsi="Times New Roman"/>
      <w:sz w:val="28"/>
      <w:lang w:val="ru-RU"/>
    </w:rPr>
  </w:style>
  <w:style w:type="character" w:styleId="aff7">
    <w:name w:val="annotation reference"/>
    <w:basedOn w:val="a0"/>
    <w:uiPriority w:val="99"/>
    <w:semiHidden/>
    <w:unhideWhenUsed/>
    <w:rPr>
      <w:sz w:val="16"/>
      <w:szCs w:val="16"/>
    </w:rPr>
  </w:style>
  <w:style w:type="paragraph" w:styleId="aff8">
    <w:name w:val="annotation text"/>
    <w:basedOn w:val="a"/>
    <w:link w:val="aff9"/>
    <w:uiPriority w:val="99"/>
    <w:unhideWhenUsed/>
    <w:qFormat/>
    <w:rPr>
      <w:sz w:val="20"/>
      <w:szCs w:val="20"/>
    </w:rPr>
  </w:style>
  <w:style w:type="character" w:customStyle="1" w:styleId="aff9">
    <w:name w:val="Текст примечания Знак"/>
    <w:basedOn w:val="a0"/>
    <w:link w:val="aff8"/>
    <w:uiPriority w:val="99"/>
    <w:qFormat/>
    <w:rPr>
      <w:rFonts w:ascii="Times New Roman" w:hAnsi="Times New Roman"/>
      <w:sz w:val="20"/>
      <w:szCs w:val="20"/>
      <w:lang w:val="ru-RU"/>
    </w:rPr>
  </w:style>
  <w:style w:type="paragraph" w:styleId="affa">
    <w:name w:val="annotation subject"/>
    <w:basedOn w:val="aff8"/>
    <w:next w:val="aff8"/>
    <w:link w:val="affb"/>
    <w:uiPriority w:val="99"/>
    <w:semiHidden/>
    <w:unhideWhenUsed/>
    <w:qFormat/>
    <w:rPr>
      <w:b/>
      <w:bCs/>
    </w:rPr>
  </w:style>
  <w:style w:type="character" w:customStyle="1" w:styleId="affb">
    <w:name w:val="Тема примечания Знак"/>
    <w:basedOn w:val="aff9"/>
    <w:link w:val="affa"/>
    <w:uiPriority w:val="99"/>
    <w:semiHidden/>
    <w:qFormat/>
    <w:rPr>
      <w:rFonts w:ascii="Times New Roman" w:hAnsi="Times New Roman"/>
      <w:b/>
      <w:bCs/>
      <w:sz w:val="20"/>
      <w:szCs w:val="20"/>
      <w:lang w:val="ru-RU"/>
    </w:rPr>
  </w:style>
  <w:style w:type="paragraph" w:customStyle="1" w:styleId="13">
    <w:name w:val="Абзац списка1"/>
    <w:basedOn w:val="a"/>
    <w:link w:val="affc"/>
    <w:uiPriority w:val="34"/>
    <w:qFormat/>
    <w:rsid w:val="0071640B"/>
    <w:pPr>
      <w:spacing w:line="259" w:lineRule="auto"/>
      <w:ind w:left="720"/>
      <w:contextualSpacing/>
    </w:pPr>
    <w:rPr>
      <w:rFonts w:ascii="Calibri" w:eastAsia="Times New Roman" w:hAnsi="Calibri" w:cs="Times New Roman"/>
      <w:sz w:val="22"/>
      <w:lang w:val="en-US"/>
      <w14:ligatures w14:val="none"/>
    </w:rPr>
  </w:style>
  <w:style w:type="character" w:customStyle="1" w:styleId="affc">
    <w:name w:val="Абзац списка Знак"/>
    <w:link w:val="13"/>
    <w:uiPriority w:val="34"/>
    <w:qFormat/>
    <w:locked/>
    <w:rsid w:val="0071640B"/>
    <w:rPr>
      <w:rFonts w:ascii="Calibri" w:eastAsia="Times New Roman" w:hAnsi="Calibri" w:cs="Times New Roman"/>
      <w:lang w:val="en-US"/>
      <w14:ligatures w14:val="none"/>
    </w:rPr>
  </w:style>
  <w:style w:type="paragraph" w:styleId="affd">
    <w:name w:val="Normal (Web)"/>
    <w:uiPriority w:val="99"/>
    <w:unhideWhenUsed/>
    <w:qFormat/>
    <w:rsid w:val="0056553D"/>
    <w:pPr>
      <w:spacing w:beforeAutospacing="1" w:after="0" w:afterAutospacing="1" w:line="240" w:lineRule="auto"/>
    </w:pPr>
    <w:rPr>
      <w:rFonts w:ascii="Calibri" w:eastAsia="SimSun" w:hAnsi="Calibri" w:cs="Times New Roman"/>
      <w:sz w:val="24"/>
      <w:szCs w:val="24"/>
      <w:lang w:val="en-US" w:eastAsia="zh-CN"/>
      <w14:ligatures w14:val="none"/>
    </w:rPr>
  </w:style>
  <w:style w:type="paragraph" w:customStyle="1" w:styleId="1TEXT">
    <w:name w:val="1.TEXT"/>
    <w:basedOn w:val="a"/>
    <w:link w:val="1TEXT0"/>
    <w:qFormat/>
    <w:rsid w:val="000C6E07"/>
    <w:pPr>
      <w:autoSpaceDE w:val="0"/>
      <w:autoSpaceDN w:val="0"/>
      <w:adjustRightInd w:val="0"/>
      <w:spacing w:after="0"/>
      <w:ind w:firstLine="284"/>
      <w:jc w:val="both"/>
      <w:textAlignment w:val="center"/>
    </w:pPr>
    <w:rPr>
      <w:rFonts w:eastAsia="Times New Roman" w:cs="Pragma_MonitorOficial"/>
      <w:color w:val="000000"/>
      <w:sz w:val="24"/>
      <w:szCs w:val="16"/>
      <w14:ligatures w14:val="none"/>
    </w:rPr>
  </w:style>
  <w:style w:type="character" w:customStyle="1" w:styleId="1TEXT0">
    <w:name w:val="1.TEXT Знак"/>
    <w:link w:val="1TEXT"/>
    <w:rsid w:val="000C6E07"/>
    <w:rPr>
      <w:rFonts w:ascii="Times New Roman" w:eastAsia="Times New Roman" w:hAnsi="Times New Roman" w:cs="Pragma_MonitorOficial"/>
      <w:color w:val="000000"/>
      <w:sz w:val="24"/>
      <w:szCs w:val="16"/>
      <w:lang w:val="ru-RU"/>
      <w14:ligatures w14:val="none"/>
    </w:rPr>
  </w:style>
  <w:style w:type="paragraph" w:customStyle="1" w:styleId="1ALIN">
    <w:name w:val="1.ALIN"/>
    <w:basedOn w:val="1TEXT"/>
    <w:link w:val="1ALIN0"/>
    <w:autoRedefine/>
    <w:qFormat/>
    <w:rsid w:val="000C6E07"/>
    <w:pPr>
      <w:numPr>
        <w:numId w:val="16"/>
      </w:numPr>
    </w:pPr>
  </w:style>
  <w:style w:type="character" w:customStyle="1" w:styleId="1ALIN0">
    <w:name w:val="1.ALIN Знак"/>
    <w:link w:val="1ALIN"/>
    <w:rsid w:val="000C6E07"/>
    <w:rPr>
      <w:rFonts w:ascii="Times New Roman" w:eastAsia="Times New Roman" w:hAnsi="Times New Roman" w:cs="Pragma_MonitorOficial"/>
      <w:color w:val="000000"/>
      <w:sz w:val="24"/>
      <w:szCs w:val="16"/>
      <w:lang w:val="ru-RU"/>
      <w14:ligatures w14:val="none"/>
    </w:rPr>
  </w:style>
  <w:style w:type="paragraph" w:styleId="affe">
    <w:name w:val="Body Text"/>
    <w:basedOn w:val="a"/>
    <w:link w:val="afff"/>
    <w:uiPriority w:val="1"/>
    <w:qFormat/>
    <w:rsid w:val="000C6E07"/>
    <w:pPr>
      <w:widowControl w:val="0"/>
      <w:autoSpaceDE w:val="0"/>
      <w:autoSpaceDN w:val="0"/>
      <w:spacing w:after="0"/>
    </w:pPr>
    <w:rPr>
      <w:rFonts w:eastAsia="Times New Roman" w:cs="Times New Roman"/>
      <w:szCs w:val="28"/>
      <w:lang w:val="ro-RO"/>
      <w14:ligatures w14:val="none"/>
    </w:rPr>
  </w:style>
  <w:style w:type="character" w:customStyle="1" w:styleId="afff">
    <w:name w:val="Основной текст Знак"/>
    <w:basedOn w:val="a0"/>
    <w:link w:val="affe"/>
    <w:uiPriority w:val="1"/>
    <w:qFormat/>
    <w:rsid w:val="000C6E07"/>
    <w:rPr>
      <w:rFonts w:ascii="Times New Roman" w:eastAsia="Times New Roman" w:hAnsi="Times New Roman" w:cs="Times New Roman"/>
      <w:sz w:val="28"/>
      <w:szCs w:val="28"/>
      <w14:ligatures w14:val="none"/>
    </w:rPr>
  </w:style>
  <w:style w:type="paragraph" w:styleId="14">
    <w:name w:val="toc 1"/>
    <w:basedOn w:val="a"/>
    <w:next w:val="a"/>
    <w:uiPriority w:val="39"/>
    <w:unhideWhenUsed/>
    <w:qFormat/>
    <w:rsid w:val="000C6E07"/>
    <w:pPr>
      <w:spacing w:after="100" w:line="276" w:lineRule="auto"/>
    </w:pPr>
    <w:rPr>
      <w:rFonts w:ascii="Calibri" w:eastAsia="Times New Roman" w:hAnsi="Calibri" w:cs="Times New Roman"/>
      <w:sz w:val="22"/>
      <w:lang w:val="ro-RO"/>
      <w14:ligatures w14:val="none"/>
    </w:rPr>
  </w:style>
  <w:style w:type="paragraph" w:styleId="24">
    <w:name w:val="toc 2"/>
    <w:basedOn w:val="a"/>
    <w:next w:val="a"/>
    <w:uiPriority w:val="39"/>
    <w:unhideWhenUsed/>
    <w:qFormat/>
    <w:rsid w:val="000C6E07"/>
    <w:pPr>
      <w:spacing w:after="100" w:line="276" w:lineRule="auto"/>
      <w:ind w:left="220"/>
    </w:pPr>
    <w:rPr>
      <w:rFonts w:ascii="Calibri" w:eastAsia="Times New Roman" w:hAnsi="Calibri" w:cs="Times New Roman"/>
      <w:sz w:val="22"/>
      <w:lang w:val="ro-RO"/>
      <w14:ligatures w14:val="none"/>
    </w:rPr>
  </w:style>
  <w:style w:type="paragraph" w:customStyle="1" w:styleId="15">
    <w:name w:val="Обычный1"/>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16">
    <w:name w:val="Абзац списка1"/>
    <w:basedOn w:val="a"/>
    <w:qFormat/>
    <w:rsid w:val="000C6E07"/>
    <w:pPr>
      <w:spacing w:before="100" w:beforeAutospacing="1" w:line="256" w:lineRule="auto"/>
      <w:ind w:left="720"/>
      <w:contextualSpacing/>
    </w:pPr>
    <w:rPr>
      <w:rFonts w:ascii="Calibri" w:eastAsia="Times New Roman" w:hAnsi="Calibri" w:cs="Times New Roman"/>
      <w:sz w:val="22"/>
      <w:lang w:val="en-US"/>
      <w14:ligatures w14:val="none"/>
    </w:rPr>
  </w:style>
  <w:style w:type="paragraph" w:customStyle="1" w:styleId="17">
    <w:name w:val="Без интервала1"/>
    <w:uiPriority w:val="1"/>
    <w:qFormat/>
    <w:rsid w:val="000C6E07"/>
    <w:pPr>
      <w:spacing w:after="0" w:line="240" w:lineRule="auto"/>
    </w:pPr>
    <w:rPr>
      <w:rFonts w:ascii="Calibri" w:eastAsia="Times New Roman" w:hAnsi="Calibri" w:cs="Times New Roman"/>
      <w14:ligatures w14:val="none"/>
    </w:rPr>
  </w:style>
  <w:style w:type="paragraph" w:customStyle="1" w:styleId="Default">
    <w:name w:val="Default"/>
    <w:qFormat/>
    <w:rsid w:val="000C6E07"/>
    <w:pPr>
      <w:autoSpaceDE w:val="0"/>
      <w:autoSpaceDN w:val="0"/>
      <w:adjustRightInd w:val="0"/>
      <w:spacing w:after="0" w:line="240" w:lineRule="auto"/>
    </w:pPr>
    <w:rPr>
      <w:rFonts w:ascii="Times New Roman" w:eastAsia="Times New Roman" w:hAnsi="Times New Roman" w:cs="Times New Roman"/>
      <w:color w:val="000000"/>
      <w:sz w:val="24"/>
      <w:szCs w:val="24"/>
      <w14:ligatures w14:val="none"/>
    </w:rPr>
  </w:style>
  <w:style w:type="paragraph" w:customStyle="1" w:styleId="Normal1">
    <w:name w:val="Normal1"/>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Normal2">
    <w:name w:val="Normal2"/>
    <w:qFormat/>
    <w:rsid w:val="000C6E07"/>
    <w:pPr>
      <w:spacing w:before="100" w:beforeAutospacing="1" w:after="200" w:line="273" w:lineRule="auto"/>
    </w:pPr>
    <w:rPr>
      <w:rFonts w:ascii="Calibri" w:eastAsia="Times New Roman" w:hAnsi="Calibri" w:cs="Times New Roman"/>
      <w:lang w:val="en-US"/>
      <w14:ligatures w14:val="none"/>
    </w:rPr>
  </w:style>
  <w:style w:type="paragraph" w:customStyle="1" w:styleId="NoSpacing1">
    <w:name w:val="No Spacing1"/>
    <w:basedOn w:val="a"/>
    <w:qFormat/>
    <w:rsid w:val="000C6E07"/>
    <w:pPr>
      <w:spacing w:before="100" w:beforeAutospacing="1" w:after="100" w:afterAutospacing="1"/>
    </w:pPr>
    <w:rPr>
      <w:rFonts w:eastAsia="Times New Roman" w:cs="Times New Roman"/>
      <w:sz w:val="24"/>
      <w:szCs w:val="24"/>
      <w:lang w:val="en-US"/>
      <w14:ligatures w14:val="none"/>
    </w:rPr>
  </w:style>
  <w:style w:type="character" w:customStyle="1" w:styleId="150">
    <w:name w:val="15"/>
    <w:qFormat/>
    <w:rsid w:val="000C6E07"/>
    <w:rPr>
      <w:rFonts w:ascii="Times New Roman" w:hAnsi="Times New Roman" w:cs="Times New Roman" w:hint="default"/>
    </w:rPr>
  </w:style>
  <w:style w:type="paragraph" w:customStyle="1" w:styleId="ListParagraph1">
    <w:name w:val="List Paragraph1"/>
    <w:basedOn w:val="a"/>
    <w:qFormat/>
    <w:rsid w:val="000C6E07"/>
    <w:pPr>
      <w:spacing w:before="100" w:beforeAutospacing="1" w:line="256" w:lineRule="auto"/>
      <w:ind w:left="720"/>
      <w:contextualSpacing/>
    </w:pPr>
    <w:rPr>
      <w:rFonts w:ascii="Calibri" w:eastAsia="Times New Roman" w:hAnsi="Calibri" w:cs="Times New Roman"/>
      <w:sz w:val="22"/>
      <w:lang w:val="en-US"/>
      <w14:ligatures w14:val="none"/>
    </w:rPr>
  </w:style>
  <w:style w:type="paragraph" w:customStyle="1" w:styleId="25">
    <w:name w:val="Обычный2"/>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Normal3">
    <w:name w:val="Normal3"/>
    <w:qFormat/>
    <w:rsid w:val="000C6E07"/>
    <w:pPr>
      <w:spacing w:before="100" w:beforeAutospacing="1" w:line="256" w:lineRule="auto"/>
    </w:pPr>
    <w:rPr>
      <w:rFonts w:ascii="Calibri" w:eastAsia="Times New Roman" w:hAnsi="Calibri" w:cs="Times New Roman"/>
      <w:lang w:val="en-US"/>
      <w14:ligatures w14:val="none"/>
    </w:rPr>
  </w:style>
  <w:style w:type="character" w:customStyle="1" w:styleId="afff0">
    <w:name w:val="Другое_"/>
    <w:link w:val="afff1"/>
    <w:qFormat/>
    <w:rsid w:val="000C6E07"/>
    <w:rPr>
      <w:rFonts w:ascii="Times New Roman" w:eastAsia="Times New Roman" w:hAnsi="Times New Roman" w:cs="Times New Roman"/>
    </w:rPr>
  </w:style>
  <w:style w:type="paragraph" w:customStyle="1" w:styleId="afff1">
    <w:name w:val="Другое"/>
    <w:basedOn w:val="a"/>
    <w:link w:val="afff0"/>
    <w:qFormat/>
    <w:rsid w:val="000C6E07"/>
    <w:pPr>
      <w:widowControl w:val="0"/>
      <w:spacing w:after="100"/>
    </w:pPr>
    <w:rPr>
      <w:rFonts w:eastAsia="Times New Roman" w:cs="Times New Roman"/>
      <w:sz w:val="22"/>
      <w:lang w:val="ro-RO"/>
    </w:rPr>
  </w:style>
  <w:style w:type="paragraph" w:customStyle="1" w:styleId="32">
    <w:name w:val="Обычный3"/>
    <w:qFormat/>
    <w:rsid w:val="000C6E07"/>
    <w:pPr>
      <w:spacing w:after="0" w:line="240" w:lineRule="auto"/>
      <w:jc w:val="both"/>
    </w:pPr>
    <w:rPr>
      <w:rFonts w:ascii="Calibri" w:eastAsia="SimSun" w:hAnsi="Calibri" w:cs="Calibri"/>
      <w:kern w:val="2"/>
      <w:sz w:val="21"/>
      <w:szCs w:val="21"/>
      <w:lang w:val="en-US"/>
      <w14:ligatures w14:val="none"/>
    </w:rPr>
  </w:style>
  <w:style w:type="paragraph" w:customStyle="1" w:styleId="42">
    <w:name w:val="Обычный4"/>
    <w:basedOn w:val="a"/>
    <w:qFormat/>
    <w:rsid w:val="000C6E07"/>
    <w:pPr>
      <w:spacing w:before="100" w:beforeAutospacing="1" w:line="256" w:lineRule="auto"/>
    </w:pPr>
    <w:rPr>
      <w:rFonts w:ascii="Calibri" w:eastAsia="Times New Roman" w:hAnsi="Calibri" w:cs="Calibri"/>
      <w:sz w:val="22"/>
      <w:lang w:val="en-US"/>
      <w14:ligatures w14:val="none"/>
    </w:rPr>
  </w:style>
  <w:style w:type="paragraph" w:customStyle="1" w:styleId="18">
    <w:name w:val="Текст сноски1"/>
    <w:basedOn w:val="a"/>
    <w:semiHidden/>
    <w:qFormat/>
    <w:rsid w:val="000C6E07"/>
    <w:pPr>
      <w:spacing w:before="100" w:beforeAutospacing="1" w:after="0"/>
    </w:pPr>
    <w:rPr>
      <w:rFonts w:ascii="Calibri" w:eastAsia="Times New Roman" w:hAnsi="Calibri" w:cs="Calibri"/>
      <w:sz w:val="20"/>
      <w:szCs w:val="20"/>
      <w:lang w:val="en-US"/>
      <w14:ligatures w14:val="none"/>
    </w:rPr>
  </w:style>
  <w:style w:type="paragraph" w:customStyle="1" w:styleId="52">
    <w:name w:val="Обычный5"/>
    <w:qFormat/>
    <w:rsid w:val="000C6E07"/>
    <w:pPr>
      <w:spacing w:after="0" w:line="240" w:lineRule="auto"/>
    </w:pPr>
    <w:rPr>
      <w:rFonts w:ascii="Times New Roman" w:eastAsia="Times New Roman" w:hAnsi="Times New Roman" w:cs="Times New Roman"/>
      <w:sz w:val="24"/>
      <w:szCs w:val="24"/>
      <w:lang w:val="en-US"/>
      <w14:ligatures w14:val="none"/>
    </w:rPr>
  </w:style>
  <w:style w:type="paragraph" w:customStyle="1" w:styleId="61">
    <w:name w:val="Обычный6"/>
    <w:basedOn w:val="a"/>
    <w:qFormat/>
    <w:rsid w:val="000C6E07"/>
    <w:pPr>
      <w:spacing w:before="100" w:beforeAutospacing="1" w:line="256" w:lineRule="auto"/>
    </w:pPr>
    <w:rPr>
      <w:rFonts w:ascii="Calibri" w:eastAsia="Times New Roman" w:hAnsi="Calibri" w:cs="Calibri"/>
      <w:sz w:val="22"/>
      <w:lang w:val="en-US"/>
      <w14:ligatures w14:val="none"/>
    </w:rPr>
  </w:style>
  <w:style w:type="paragraph" w:customStyle="1" w:styleId="71">
    <w:name w:val="Обычный7"/>
    <w:qFormat/>
    <w:rsid w:val="000C6E07"/>
    <w:pPr>
      <w:spacing w:after="0" w:line="240" w:lineRule="auto"/>
      <w:jc w:val="both"/>
    </w:pPr>
    <w:rPr>
      <w:rFonts w:ascii="Times New Roman" w:eastAsia="SimSun" w:hAnsi="Times New Roman" w:cs="Times New Roman"/>
      <w:kern w:val="2"/>
      <w:sz w:val="21"/>
      <w:szCs w:val="21"/>
      <w:lang w:val="en-US"/>
      <w14:ligatures w14:val="none"/>
    </w:rPr>
  </w:style>
  <w:style w:type="paragraph" w:customStyle="1" w:styleId="26">
    <w:name w:val="Текст сноски2"/>
    <w:basedOn w:val="a"/>
    <w:semiHidden/>
    <w:qFormat/>
    <w:rsid w:val="000C6E07"/>
    <w:pPr>
      <w:spacing w:before="100" w:beforeAutospacing="1" w:after="0"/>
    </w:pPr>
    <w:rPr>
      <w:rFonts w:ascii="Calibri" w:eastAsia="Times New Roman" w:hAnsi="Calibri" w:cs="Calibri"/>
      <w:sz w:val="20"/>
      <w:szCs w:val="20"/>
      <w:lang w:val="en-US"/>
      <w14:ligatures w14:val="none"/>
    </w:rPr>
  </w:style>
  <w:style w:type="paragraph" w:customStyle="1" w:styleId="81">
    <w:name w:val="Обычный8"/>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91">
    <w:name w:val="Обычный9"/>
    <w:qFormat/>
    <w:rsid w:val="000C6E07"/>
    <w:pPr>
      <w:spacing w:before="100" w:beforeAutospacing="1" w:line="256" w:lineRule="auto"/>
    </w:pPr>
    <w:rPr>
      <w:rFonts w:ascii="Calibri" w:eastAsia="Times New Roman" w:hAnsi="Calibri" w:cs="Times New Roman"/>
      <w:lang w:val="en-US"/>
      <w14:ligatures w14:val="none"/>
    </w:rPr>
  </w:style>
  <w:style w:type="paragraph" w:customStyle="1" w:styleId="100">
    <w:name w:val="Обычный10"/>
    <w:basedOn w:val="a"/>
    <w:qFormat/>
    <w:rsid w:val="000C6E07"/>
    <w:pPr>
      <w:spacing w:before="100" w:beforeAutospacing="1" w:line="256" w:lineRule="auto"/>
    </w:pPr>
    <w:rPr>
      <w:rFonts w:ascii="Calibri" w:eastAsia="Times New Roman" w:hAnsi="Calibri" w:cs="Calibri"/>
      <w:sz w:val="22"/>
      <w:lang w:val="en-US"/>
      <w14:ligatures w14:val="none"/>
    </w:rPr>
  </w:style>
  <w:style w:type="paragraph" w:customStyle="1" w:styleId="Normal4">
    <w:name w:val="Normal4"/>
    <w:qFormat/>
    <w:rsid w:val="000C6E07"/>
    <w:pPr>
      <w:spacing w:before="100" w:beforeAutospacing="1" w:after="0" w:line="240" w:lineRule="auto"/>
    </w:pPr>
    <w:rPr>
      <w:rFonts w:ascii="Times New Roman" w:eastAsia="Times New Roman" w:hAnsi="Times New Roman" w:cs="Times New Roman"/>
      <w:sz w:val="24"/>
      <w:szCs w:val="24"/>
      <w:lang w:val="en-US"/>
      <w14:ligatures w14:val="none"/>
    </w:rPr>
  </w:style>
  <w:style w:type="paragraph" w:customStyle="1" w:styleId="tt">
    <w:name w:val="tt"/>
    <w:basedOn w:val="a"/>
    <w:qFormat/>
    <w:rsid w:val="000C6E07"/>
    <w:pPr>
      <w:spacing w:before="100" w:beforeAutospacing="1" w:after="100" w:afterAutospacing="1"/>
      <w:jc w:val="center"/>
    </w:pPr>
    <w:rPr>
      <w:rFonts w:eastAsia="Times New Roman" w:cs="Times New Roman"/>
      <w:b/>
      <w:bCs/>
      <w:sz w:val="24"/>
      <w:szCs w:val="24"/>
      <w:lang w:val="en-US"/>
      <w14:ligatures w14:val="none"/>
    </w:rPr>
  </w:style>
  <w:style w:type="paragraph" w:customStyle="1" w:styleId="cn">
    <w:name w:val="cn"/>
    <w:basedOn w:val="a"/>
    <w:qFormat/>
    <w:rsid w:val="000C6E07"/>
    <w:pPr>
      <w:spacing w:after="0"/>
      <w:jc w:val="center"/>
    </w:pPr>
    <w:rPr>
      <w:rFonts w:eastAsia="Times New Roman" w:cs="Times New Roman"/>
      <w:sz w:val="24"/>
      <w:szCs w:val="24"/>
      <w:lang w:val="ro-RO" w:eastAsia="ro-RO"/>
      <w14:ligatures w14:val="none"/>
    </w:rPr>
  </w:style>
  <w:style w:type="paragraph" w:customStyle="1" w:styleId="Pa27">
    <w:name w:val="Pa27"/>
    <w:basedOn w:val="Default"/>
    <w:next w:val="Default"/>
    <w:uiPriority w:val="99"/>
    <w:rsid w:val="000C6E07"/>
    <w:pPr>
      <w:spacing w:line="221" w:lineRule="atLeast"/>
    </w:pPr>
    <w:rPr>
      <w:rFonts w:ascii="Myriad Pro" w:eastAsia="Calibri" w:hAnsi="Myriad Pro"/>
      <w:color w:val="auto"/>
      <w:lang w:val="en-US"/>
    </w:rPr>
  </w:style>
  <w:style w:type="character" w:customStyle="1" w:styleId="A40">
    <w:name w:val="A4"/>
    <w:uiPriority w:val="99"/>
    <w:rsid w:val="000C6E07"/>
    <w:rPr>
      <w:rFonts w:cs="Myriad Pro"/>
      <w:color w:val="000000"/>
      <w:sz w:val="21"/>
      <w:szCs w:val="21"/>
    </w:rPr>
  </w:style>
  <w:style w:type="paragraph" w:customStyle="1" w:styleId="Pa5">
    <w:name w:val="Pa5"/>
    <w:basedOn w:val="Default"/>
    <w:next w:val="Default"/>
    <w:uiPriority w:val="99"/>
    <w:rsid w:val="000C6E07"/>
    <w:pPr>
      <w:spacing w:line="221" w:lineRule="atLeast"/>
    </w:pPr>
    <w:rPr>
      <w:rFonts w:ascii="Myriad Pro" w:eastAsia="Calibri" w:hAnsi="Myriad Pro"/>
      <w:color w:val="auto"/>
      <w:lang w:val="en-US"/>
    </w:rPr>
  </w:style>
  <w:style w:type="character" w:customStyle="1" w:styleId="relative">
    <w:name w:val="relative"/>
    <w:basedOn w:val="a0"/>
    <w:rsid w:val="000C6E07"/>
  </w:style>
  <w:style w:type="character" w:styleId="afff2">
    <w:name w:val="Unresolved Mention"/>
    <w:basedOn w:val="a0"/>
    <w:uiPriority w:val="99"/>
    <w:semiHidden/>
    <w:unhideWhenUsed/>
    <w:rsid w:val="00D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3358">
      <w:bodyDiv w:val="1"/>
      <w:marLeft w:val="0"/>
      <w:marRight w:val="0"/>
      <w:marTop w:val="0"/>
      <w:marBottom w:val="0"/>
      <w:divBdr>
        <w:top w:val="none" w:sz="0" w:space="0" w:color="auto"/>
        <w:left w:val="none" w:sz="0" w:space="0" w:color="auto"/>
        <w:bottom w:val="none" w:sz="0" w:space="0" w:color="auto"/>
        <w:right w:val="none" w:sz="0" w:space="0" w:color="auto"/>
      </w:divBdr>
    </w:div>
    <w:div w:id="200478514">
      <w:bodyDiv w:val="1"/>
      <w:marLeft w:val="0"/>
      <w:marRight w:val="0"/>
      <w:marTop w:val="0"/>
      <w:marBottom w:val="0"/>
      <w:divBdr>
        <w:top w:val="none" w:sz="0" w:space="0" w:color="auto"/>
        <w:left w:val="none" w:sz="0" w:space="0" w:color="auto"/>
        <w:bottom w:val="none" w:sz="0" w:space="0" w:color="auto"/>
        <w:right w:val="none" w:sz="0" w:space="0" w:color="auto"/>
      </w:divBdr>
    </w:div>
    <w:div w:id="227502629">
      <w:bodyDiv w:val="1"/>
      <w:marLeft w:val="0"/>
      <w:marRight w:val="0"/>
      <w:marTop w:val="0"/>
      <w:marBottom w:val="0"/>
      <w:divBdr>
        <w:top w:val="none" w:sz="0" w:space="0" w:color="auto"/>
        <w:left w:val="none" w:sz="0" w:space="0" w:color="auto"/>
        <w:bottom w:val="none" w:sz="0" w:space="0" w:color="auto"/>
        <w:right w:val="none" w:sz="0" w:space="0" w:color="auto"/>
      </w:divBdr>
    </w:div>
    <w:div w:id="330719113">
      <w:bodyDiv w:val="1"/>
      <w:marLeft w:val="0"/>
      <w:marRight w:val="0"/>
      <w:marTop w:val="0"/>
      <w:marBottom w:val="0"/>
      <w:divBdr>
        <w:top w:val="none" w:sz="0" w:space="0" w:color="auto"/>
        <w:left w:val="none" w:sz="0" w:space="0" w:color="auto"/>
        <w:bottom w:val="none" w:sz="0" w:space="0" w:color="auto"/>
        <w:right w:val="none" w:sz="0" w:space="0" w:color="auto"/>
      </w:divBdr>
    </w:div>
    <w:div w:id="380790989">
      <w:bodyDiv w:val="1"/>
      <w:marLeft w:val="0"/>
      <w:marRight w:val="0"/>
      <w:marTop w:val="0"/>
      <w:marBottom w:val="0"/>
      <w:divBdr>
        <w:top w:val="none" w:sz="0" w:space="0" w:color="auto"/>
        <w:left w:val="none" w:sz="0" w:space="0" w:color="auto"/>
        <w:bottom w:val="none" w:sz="0" w:space="0" w:color="auto"/>
        <w:right w:val="none" w:sz="0" w:space="0" w:color="auto"/>
      </w:divBdr>
    </w:div>
    <w:div w:id="450981065">
      <w:bodyDiv w:val="1"/>
      <w:marLeft w:val="0"/>
      <w:marRight w:val="0"/>
      <w:marTop w:val="0"/>
      <w:marBottom w:val="0"/>
      <w:divBdr>
        <w:top w:val="none" w:sz="0" w:space="0" w:color="auto"/>
        <w:left w:val="none" w:sz="0" w:space="0" w:color="auto"/>
        <w:bottom w:val="none" w:sz="0" w:space="0" w:color="auto"/>
        <w:right w:val="none" w:sz="0" w:space="0" w:color="auto"/>
      </w:divBdr>
    </w:div>
    <w:div w:id="488181766">
      <w:bodyDiv w:val="1"/>
      <w:marLeft w:val="0"/>
      <w:marRight w:val="0"/>
      <w:marTop w:val="0"/>
      <w:marBottom w:val="0"/>
      <w:divBdr>
        <w:top w:val="none" w:sz="0" w:space="0" w:color="auto"/>
        <w:left w:val="none" w:sz="0" w:space="0" w:color="auto"/>
        <w:bottom w:val="none" w:sz="0" w:space="0" w:color="auto"/>
        <w:right w:val="none" w:sz="0" w:space="0" w:color="auto"/>
      </w:divBdr>
    </w:div>
    <w:div w:id="592738716">
      <w:bodyDiv w:val="1"/>
      <w:marLeft w:val="0"/>
      <w:marRight w:val="0"/>
      <w:marTop w:val="0"/>
      <w:marBottom w:val="0"/>
      <w:divBdr>
        <w:top w:val="none" w:sz="0" w:space="0" w:color="auto"/>
        <w:left w:val="none" w:sz="0" w:space="0" w:color="auto"/>
        <w:bottom w:val="none" w:sz="0" w:space="0" w:color="auto"/>
        <w:right w:val="none" w:sz="0" w:space="0" w:color="auto"/>
      </w:divBdr>
    </w:div>
    <w:div w:id="616568653">
      <w:bodyDiv w:val="1"/>
      <w:marLeft w:val="0"/>
      <w:marRight w:val="0"/>
      <w:marTop w:val="0"/>
      <w:marBottom w:val="0"/>
      <w:divBdr>
        <w:top w:val="none" w:sz="0" w:space="0" w:color="auto"/>
        <w:left w:val="none" w:sz="0" w:space="0" w:color="auto"/>
        <w:bottom w:val="none" w:sz="0" w:space="0" w:color="auto"/>
        <w:right w:val="none" w:sz="0" w:space="0" w:color="auto"/>
      </w:divBdr>
    </w:div>
    <w:div w:id="732587641">
      <w:bodyDiv w:val="1"/>
      <w:marLeft w:val="0"/>
      <w:marRight w:val="0"/>
      <w:marTop w:val="0"/>
      <w:marBottom w:val="0"/>
      <w:divBdr>
        <w:top w:val="none" w:sz="0" w:space="0" w:color="auto"/>
        <w:left w:val="none" w:sz="0" w:space="0" w:color="auto"/>
        <w:bottom w:val="none" w:sz="0" w:space="0" w:color="auto"/>
        <w:right w:val="none" w:sz="0" w:space="0" w:color="auto"/>
      </w:divBdr>
    </w:div>
    <w:div w:id="863984637">
      <w:bodyDiv w:val="1"/>
      <w:marLeft w:val="0"/>
      <w:marRight w:val="0"/>
      <w:marTop w:val="0"/>
      <w:marBottom w:val="0"/>
      <w:divBdr>
        <w:top w:val="none" w:sz="0" w:space="0" w:color="auto"/>
        <w:left w:val="none" w:sz="0" w:space="0" w:color="auto"/>
        <w:bottom w:val="none" w:sz="0" w:space="0" w:color="auto"/>
        <w:right w:val="none" w:sz="0" w:space="0" w:color="auto"/>
      </w:divBdr>
    </w:div>
    <w:div w:id="882910525">
      <w:bodyDiv w:val="1"/>
      <w:marLeft w:val="0"/>
      <w:marRight w:val="0"/>
      <w:marTop w:val="0"/>
      <w:marBottom w:val="0"/>
      <w:divBdr>
        <w:top w:val="none" w:sz="0" w:space="0" w:color="auto"/>
        <w:left w:val="none" w:sz="0" w:space="0" w:color="auto"/>
        <w:bottom w:val="none" w:sz="0" w:space="0" w:color="auto"/>
        <w:right w:val="none" w:sz="0" w:space="0" w:color="auto"/>
      </w:divBdr>
    </w:div>
    <w:div w:id="931738782">
      <w:bodyDiv w:val="1"/>
      <w:marLeft w:val="0"/>
      <w:marRight w:val="0"/>
      <w:marTop w:val="0"/>
      <w:marBottom w:val="0"/>
      <w:divBdr>
        <w:top w:val="none" w:sz="0" w:space="0" w:color="auto"/>
        <w:left w:val="none" w:sz="0" w:space="0" w:color="auto"/>
        <w:bottom w:val="none" w:sz="0" w:space="0" w:color="auto"/>
        <w:right w:val="none" w:sz="0" w:space="0" w:color="auto"/>
      </w:divBdr>
    </w:div>
    <w:div w:id="1001542177">
      <w:bodyDiv w:val="1"/>
      <w:marLeft w:val="0"/>
      <w:marRight w:val="0"/>
      <w:marTop w:val="0"/>
      <w:marBottom w:val="0"/>
      <w:divBdr>
        <w:top w:val="none" w:sz="0" w:space="0" w:color="auto"/>
        <w:left w:val="none" w:sz="0" w:space="0" w:color="auto"/>
        <w:bottom w:val="none" w:sz="0" w:space="0" w:color="auto"/>
        <w:right w:val="none" w:sz="0" w:space="0" w:color="auto"/>
      </w:divBdr>
    </w:div>
    <w:div w:id="1011027181">
      <w:bodyDiv w:val="1"/>
      <w:marLeft w:val="0"/>
      <w:marRight w:val="0"/>
      <w:marTop w:val="0"/>
      <w:marBottom w:val="0"/>
      <w:divBdr>
        <w:top w:val="none" w:sz="0" w:space="0" w:color="auto"/>
        <w:left w:val="none" w:sz="0" w:space="0" w:color="auto"/>
        <w:bottom w:val="none" w:sz="0" w:space="0" w:color="auto"/>
        <w:right w:val="none" w:sz="0" w:space="0" w:color="auto"/>
      </w:divBdr>
    </w:div>
    <w:div w:id="1050034993">
      <w:bodyDiv w:val="1"/>
      <w:marLeft w:val="0"/>
      <w:marRight w:val="0"/>
      <w:marTop w:val="0"/>
      <w:marBottom w:val="0"/>
      <w:divBdr>
        <w:top w:val="none" w:sz="0" w:space="0" w:color="auto"/>
        <w:left w:val="none" w:sz="0" w:space="0" w:color="auto"/>
        <w:bottom w:val="none" w:sz="0" w:space="0" w:color="auto"/>
        <w:right w:val="none" w:sz="0" w:space="0" w:color="auto"/>
      </w:divBdr>
    </w:div>
    <w:div w:id="1163816959">
      <w:bodyDiv w:val="1"/>
      <w:marLeft w:val="0"/>
      <w:marRight w:val="0"/>
      <w:marTop w:val="0"/>
      <w:marBottom w:val="0"/>
      <w:divBdr>
        <w:top w:val="none" w:sz="0" w:space="0" w:color="auto"/>
        <w:left w:val="none" w:sz="0" w:space="0" w:color="auto"/>
        <w:bottom w:val="none" w:sz="0" w:space="0" w:color="auto"/>
        <w:right w:val="none" w:sz="0" w:space="0" w:color="auto"/>
      </w:divBdr>
    </w:div>
    <w:div w:id="1206917292">
      <w:bodyDiv w:val="1"/>
      <w:marLeft w:val="0"/>
      <w:marRight w:val="0"/>
      <w:marTop w:val="0"/>
      <w:marBottom w:val="0"/>
      <w:divBdr>
        <w:top w:val="none" w:sz="0" w:space="0" w:color="auto"/>
        <w:left w:val="none" w:sz="0" w:space="0" w:color="auto"/>
        <w:bottom w:val="none" w:sz="0" w:space="0" w:color="auto"/>
        <w:right w:val="none" w:sz="0" w:space="0" w:color="auto"/>
      </w:divBdr>
    </w:div>
    <w:div w:id="1214460282">
      <w:bodyDiv w:val="1"/>
      <w:marLeft w:val="0"/>
      <w:marRight w:val="0"/>
      <w:marTop w:val="0"/>
      <w:marBottom w:val="0"/>
      <w:divBdr>
        <w:top w:val="none" w:sz="0" w:space="0" w:color="auto"/>
        <w:left w:val="none" w:sz="0" w:space="0" w:color="auto"/>
        <w:bottom w:val="none" w:sz="0" w:space="0" w:color="auto"/>
        <w:right w:val="none" w:sz="0" w:space="0" w:color="auto"/>
      </w:divBdr>
    </w:div>
    <w:div w:id="1226839096">
      <w:bodyDiv w:val="1"/>
      <w:marLeft w:val="0"/>
      <w:marRight w:val="0"/>
      <w:marTop w:val="0"/>
      <w:marBottom w:val="0"/>
      <w:divBdr>
        <w:top w:val="none" w:sz="0" w:space="0" w:color="auto"/>
        <w:left w:val="none" w:sz="0" w:space="0" w:color="auto"/>
        <w:bottom w:val="none" w:sz="0" w:space="0" w:color="auto"/>
        <w:right w:val="none" w:sz="0" w:space="0" w:color="auto"/>
      </w:divBdr>
    </w:div>
    <w:div w:id="1256745457">
      <w:bodyDiv w:val="1"/>
      <w:marLeft w:val="0"/>
      <w:marRight w:val="0"/>
      <w:marTop w:val="0"/>
      <w:marBottom w:val="0"/>
      <w:divBdr>
        <w:top w:val="none" w:sz="0" w:space="0" w:color="auto"/>
        <w:left w:val="none" w:sz="0" w:space="0" w:color="auto"/>
        <w:bottom w:val="none" w:sz="0" w:space="0" w:color="auto"/>
        <w:right w:val="none" w:sz="0" w:space="0" w:color="auto"/>
      </w:divBdr>
    </w:div>
    <w:div w:id="1344016921">
      <w:bodyDiv w:val="1"/>
      <w:marLeft w:val="0"/>
      <w:marRight w:val="0"/>
      <w:marTop w:val="0"/>
      <w:marBottom w:val="0"/>
      <w:divBdr>
        <w:top w:val="none" w:sz="0" w:space="0" w:color="auto"/>
        <w:left w:val="none" w:sz="0" w:space="0" w:color="auto"/>
        <w:bottom w:val="none" w:sz="0" w:space="0" w:color="auto"/>
        <w:right w:val="none" w:sz="0" w:space="0" w:color="auto"/>
      </w:divBdr>
    </w:div>
    <w:div w:id="1501045851">
      <w:bodyDiv w:val="1"/>
      <w:marLeft w:val="0"/>
      <w:marRight w:val="0"/>
      <w:marTop w:val="0"/>
      <w:marBottom w:val="0"/>
      <w:divBdr>
        <w:top w:val="none" w:sz="0" w:space="0" w:color="auto"/>
        <w:left w:val="none" w:sz="0" w:space="0" w:color="auto"/>
        <w:bottom w:val="none" w:sz="0" w:space="0" w:color="auto"/>
        <w:right w:val="none" w:sz="0" w:space="0" w:color="auto"/>
      </w:divBdr>
    </w:div>
    <w:div w:id="1589345847">
      <w:bodyDiv w:val="1"/>
      <w:marLeft w:val="0"/>
      <w:marRight w:val="0"/>
      <w:marTop w:val="0"/>
      <w:marBottom w:val="0"/>
      <w:divBdr>
        <w:top w:val="none" w:sz="0" w:space="0" w:color="auto"/>
        <w:left w:val="none" w:sz="0" w:space="0" w:color="auto"/>
        <w:bottom w:val="none" w:sz="0" w:space="0" w:color="auto"/>
        <w:right w:val="none" w:sz="0" w:space="0" w:color="auto"/>
      </w:divBdr>
    </w:div>
    <w:div w:id="1618681065">
      <w:bodyDiv w:val="1"/>
      <w:marLeft w:val="0"/>
      <w:marRight w:val="0"/>
      <w:marTop w:val="0"/>
      <w:marBottom w:val="0"/>
      <w:divBdr>
        <w:top w:val="none" w:sz="0" w:space="0" w:color="auto"/>
        <w:left w:val="none" w:sz="0" w:space="0" w:color="auto"/>
        <w:bottom w:val="none" w:sz="0" w:space="0" w:color="auto"/>
        <w:right w:val="none" w:sz="0" w:space="0" w:color="auto"/>
      </w:divBdr>
    </w:div>
    <w:div w:id="1642998709">
      <w:bodyDiv w:val="1"/>
      <w:marLeft w:val="0"/>
      <w:marRight w:val="0"/>
      <w:marTop w:val="0"/>
      <w:marBottom w:val="0"/>
      <w:divBdr>
        <w:top w:val="none" w:sz="0" w:space="0" w:color="auto"/>
        <w:left w:val="none" w:sz="0" w:space="0" w:color="auto"/>
        <w:bottom w:val="none" w:sz="0" w:space="0" w:color="auto"/>
        <w:right w:val="none" w:sz="0" w:space="0" w:color="auto"/>
      </w:divBdr>
    </w:div>
    <w:div w:id="1902017600">
      <w:bodyDiv w:val="1"/>
      <w:marLeft w:val="0"/>
      <w:marRight w:val="0"/>
      <w:marTop w:val="0"/>
      <w:marBottom w:val="0"/>
      <w:divBdr>
        <w:top w:val="none" w:sz="0" w:space="0" w:color="auto"/>
        <w:left w:val="none" w:sz="0" w:space="0" w:color="auto"/>
        <w:bottom w:val="none" w:sz="0" w:space="0" w:color="auto"/>
        <w:right w:val="none" w:sz="0" w:space="0" w:color="auto"/>
      </w:divBdr>
    </w:div>
    <w:div w:id="1954482273">
      <w:bodyDiv w:val="1"/>
      <w:marLeft w:val="0"/>
      <w:marRight w:val="0"/>
      <w:marTop w:val="0"/>
      <w:marBottom w:val="0"/>
      <w:divBdr>
        <w:top w:val="none" w:sz="0" w:space="0" w:color="auto"/>
        <w:left w:val="none" w:sz="0" w:space="0" w:color="auto"/>
        <w:bottom w:val="none" w:sz="0" w:space="0" w:color="auto"/>
        <w:right w:val="none" w:sz="0" w:space="0" w:color="auto"/>
      </w:divBdr>
    </w:div>
    <w:div w:id="206871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png"/><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nlyoffice.com/commentsIdsDocument" Target="commentsIdsDocument.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nlyoffice.com/peopleDocument" Target="peopleDocument.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theme" Target="theme/theme1.xml"/><Relationship Id="rId37" Type="http://schemas.onlyoffice.com/commentsDocument" Target="commentsDocument.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chart" Target="charts/chart20.xml"/><Relationship Id="rId36" Type="http://schemas.onlyoffice.com/commentsExtendedDocument" Target="commentsExtendedDocument.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footer" Target="footer1.xml"/><Relationship Id="rId35" Type="http://schemas.onlyoffice.com/commentsExtensibleDocument" Target="commentsExtensibleDocument.xml"/></Relationships>
</file>

<file path=word/_rels/footnotes.xml.rels><?xml version="1.0" encoding="UTF-8" standalone="yes"?>
<Relationships xmlns="http://schemas.openxmlformats.org/package/2006/relationships"><Relationship Id="rId8" Type="http://schemas.openxmlformats.org/officeDocument/2006/relationships/hyperlink" Target="http://aliantacf.md/wp-content/uploads/2023/06/Raport-KAP-Bullying_ajustare-finala%CC%86_20.08.23.docx" TargetMode="External"/><Relationship Id="rId13" Type="http://schemas.openxmlformats.org/officeDocument/2006/relationships/hyperlink" Target="https://promolex.md/wp-content/uploads/2025/04/raport-intruniri-2024.pdf" TargetMode="External"/><Relationship Id="rId18" Type="http://schemas.openxmlformats.org/officeDocument/2006/relationships/hyperlink" Target="https://promolex.md/wp-content/uploads/2025/06/release-index-2024-1.pdf" TargetMode="External"/><Relationship Id="rId26" Type="http://schemas.openxmlformats.org/officeDocument/2006/relationships/hyperlink" Target="https://www.ohchr.org/sites/default/files/Documents/ProfessionalInterest/tokyorules.pdf" TargetMode="External"/><Relationship Id="rId3" Type="http://schemas.openxmlformats.org/officeDocument/2006/relationships/hyperlink" Target="https://statistica.gov.md/ro/nivelul-infractionalitatii-in-republica-moldova-in-anul-2024-9478_61676.html" TargetMode="External"/><Relationship Id="rId21" Type="http://schemas.openxmlformats.org/officeDocument/2006/relationships/hyperlink" Target="https://ombudsman.md/post-document/raport-anual-tematic-privind-siguranta-la-retinerea-persoanelor-de-politie-in-anul-2022-2-2/" TargetMode="External"/><Relationship Id="rId34" Type="http://schemas.openxmlformats.org/officeDocument/2006/relationships/hyperlink" Target="https://promolex.md/wp-content/uploads/2023/09/Studiu-Analitic.pdf" TargetMode="External"/><Relationship Id="rId7" Type="http://schemas.openxmlformats.org/officeDocument/2006/relationships/hyperlink" Target="https://www.moldpres.md/rom/societate/1-200-de-cazuri-de-bullying-inregistrate-in-2024-15-din-cazurile-de-abuz-raportate-in-scoli?utm_source=chatgpt.com" TargetMode="External"/><Relationship Id="rId12" Type="http://schemas.openxmlformats.org/officeDocument/2006/relationships/hyperlink" Target="https://rm.coe.int/sixth-report-on-the-republic-of-moldova-translation-in-romanian-/1680b20f53" TargetMode="External"/><Relationship Id="rId17" Type="http://schemas.openxmlformats.org/officeDocument/2006/relationships/hyperlink" Target="https://soros.md/wp-content/uploads/2024/02/Raport_Sondaj_Justitie4Moldova_05.02.2024_RO_Final.pdf" TargetMode="External"/><Relationship Id="rId25" Type="http://schemas.openxmlformats.org/officeDocument/2006/relationships/hyperlink" Target="https://ombudsman.md/post-document/raport-anual-2023-privind-prevenirea-torturii-si-a-altor-pedepse-ori-tratamente-cu-cruzime-inumane-sau-degradante-in-republica-moldova/" TargetMode="External"/><Relationship Id="rId33" Type="http://schemas.openxmlformats.org/officeDocument/2006/relationships/hyperlink" Target="https://promolex.md/wp-content/uploads/2024/02/Indrumar_aplicarea_prevederilor_CC_discurs_de_ur%C4%83-2.pdf" TargetMode="External"/><Relationship Id="rId2" Type="http://schemas.openxmlformats.org/officeDocument/2006/relationships/hyperlink" Target="https://progen.md/wp-content/uploads/2025/05/CPD_Raport-Moldova-Inegala_2025-2.pdf" TargetMode="External"/><Relationship Id="rId16" Type="http://schemas.openxmlformats.org/officeDocument/2006/relationships/hyperlink" Target="https://www.undp.org/ro/moldova/publications/studiu-privind-accesul-la-justitie-republica-moldova" TargetMode="External"/><Relationship Id="rId20" Type="http://schemas.openxmlformats.org/officeDocument/2006/relationships/hyperlink" Target="https://ombudsman.md/post-document/raport-tematic-siguranta-la-politie-raport-anual-2024/" TargetMode="External"/><Relationship Id="rId29" Type="http://schemas.openxmlformats.org/officeDocument/2006/relationships/hyperlink" Target="https://ombudsman.md/wp-content/uploads/2024/01/raport-special-deces-dubios-al-unei-persoane-drog-dependente-retinute-de-angajatii-politiei-municipiului-chisinau.pdf" TargetMode="External"/><Relationship Id="rId1" Type="http://schemas.openxmlformats.org/officeDocument/2006/relationships/hyperlink" Target="https://ipp.md/wp-content/uploads/2024/10/Raport-final-BOP-2024.pdf" TargetMode="External"/><Relationship Id="rId6" Type="http://schemas.openxmlformats.org/officeDocument/2006/relationships/hyperlink" Target="https://mec.gov.md/sites/default/files/raport_mec_anet_sem_i_2023_2024.pdf" TargetMode="External"/><Relationship Id="rId11" Type="http://schemas.openxmlformats.org/officeDocument/2006/relationships/hyperlink" Target="https://promolex.md/wp-content/uploads/2025/04/raport-intruniri-2024.pdf" TargetMode="External"/><Relationship Id="rId24" Type="http://schemas.openxmlformats.org/officeDocument/2006/relationships/hyperlink" Target="http://ombudsman.md/consiliul-pentru-prevenirea-torturii/rapoarte/" TargetMode="External"/><Relationship Id="rId32" Type="http://schemas.openxmlformats.org/officeDocument/2006/relationships/hyperlink" Target="https://rm.coe.int/sixth-report-on-the-republic-of-moldova-translation-in-romanian-/1680b20f53" TargetMode="External"/><Relationship Id="rId5" Type="http://schemas.openxmlformats.org/officeDocument/2006/relationships/hyperlink" Target="https://sdvmd.net/wp-content/uploads/2025/03/report-violence_ro.pdf" TargetMode="External"/><Relationship Id="rId15" Type="http://schemas.openxmlformats.org/officeDocument/2006/relationships/hyperlink" Target="https://www.osce.org/files/f/documents/7/1/557856.pdf" TargetMode="External"/><Relationship Id="rId23" Type="http://schemas.openxmlformats.org/officeDocument/2006/relationships/hyperlink" Target="https://rm.coe.int/sixth-report-on-the-republic-of-moldova-translation-in-romanian-/1680b20f53" TargetMode="External"/><Relationship Id="rId28" Type="http://schemas.openxmlformats.org/officeDocument/2006/relationships/hyperlink" Target="https://www.unodc.org/documents/justice-and-prison-reform/Bangkok_Rules_ENG_22032015.pdf" TargetMode="External"/><Relationship Id="rId36" Type="http://schemas.openxmlformats.org/officeDocument/2006/relationships/hyperlink" Target="https://moldova.unfpa.org/sites/default/files/pub-pdf/2025-02/An%20Infographic%20Guide%20to%20An%20Infographic%20Guide%20to%20TFGBV%20%281%29-Ro.pdf" TargetMode="External"/><Relationship Id="rId10" Type="http://schemas.openxmlformats.org/officeDocument/2006/relationships/hyperlink" Target="https://ombudsman.md/post-document/opinie-la-proiectul-de-lege-pentru-modificarea-legii-nr-320-2012-cu-privire-la-activitatea-politiei-si-statutului-politistului-regionalizarea-politiei-nr-1029-mai-2024/" TargetMode="External"/><Relationship Id="rId19" Type="http://schemas.openxmlformats.org/officeDocument/2006/relationships/hyperlink" Target="https://ombudsman.md/post-document/raport-anual-privind-respectarea-drepturilor-si-libertatilor-omului-in-republica-moldova-in-anul-2023/" TargetMode="External"/><Relationship Id="rId31" Type="http://schemas.openxmlformats.org/officeDocument/2006/relationships/hyperlink" Target="https://promolex.md/wp-content/uploads/2025/06/analiza_combaterea_du_online_in_republica_moldova_2025.pdf" TargetMode="External"/><Relationship Id="rId4" Type="http://schemas.openxmlformats.org/officeDocument/2006/relationships/hyperlink" Target="https://politia.md/sites/default/files/scvd_nota_12_luni_2024_8.pdf" TargetMode="External"/><Relationship Id="rId9" Type="http://schemas.openxmlformats.org/officeDocument/2006/relationships/hyperlink" Target="https://www.undp.org/ro/moldova/publications/studiu-privind-accesul-la-justitie-republica-moldova" TargetMode="External"/><Relationship Id="rId14" Type="http://schemas.openxmlformats.org/officeDocument/2006/relationships/hyperlink" Target="https://ombudsman.md/post-document/raport-anual-privind-respectarea-drepturilor-si-libertatilor-omului-in-republica-moldova-in-anul-2023/" TargetMode="External"/><Relationship Id="rId22" Type="http://schemas.openxmlformats.org/officeDocument/2006/relationships/hyperlink" Target="https://progen.md/wp-content/uploads/2025/05/CPD_Raport-Moldova-Inegala_2025-2.pdf" TargetMode="External"/><Relationship Id="rId27" Type="http://schemas.openxmlformats.org/officeDocument/2006/relationships/hyperlink" Target="https://www.unodc.org/documents/justice-and-prison-reform/Nelson_Mandela_Rules-E-ebook.pdf" TargetMode="External"/><Relationship Id="rId30" Type="http://schemas.openxmlformats.org/officeDocument/2006/relationships/hyperlink" Target="http://ombudsman.md/wp-content/uploads/2019/03/BRAGUTA_Raport_pdf_FINAL-1.pdf" TargetMode="External"/><Relationship Id="rId35" Type="http://schemas.openxmlformats.org/officeDocument/2006/relationships/hyperlink" Target="https://digitallibrary.un.org/record/3884725?ln=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17.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4.xml"/><Relationship Id="rId1" Type="http://schemas.microsoft.com/office/2011/relationships/chartStyle" Target="style14.xml"/></Relationships>
</file>

<file path=word/charts/_rels/chart19.xml.rels><?xml version="1.0" encoding="UTF-8" standalone="yes"?>
<Relationships xmlns="http://schemas.openxmlformats.org/package/2006/relationships"><Relationship Id="rId1" Type="http://schemas.openxmlformats.org/officeDocument/2006/relationships/oleObject" Target="file:///D:\Dropbox\2025.05.23%20-%20DCAF%20MAI%20PDOSC\Descriere%202025\2025%20Date%20OSP.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5.xml"/><Relationship Id="rId1" Type="http://schemas.microsoft.com/office/2011/relationships/chartStyle" Target="style15.xml"/></Relationships>
</file>

<file path=word/charts/_rels/chart21.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16.xml"/><Relationship Id="rId1" Type="http://schemas.microsoft.com/office/2011/relationships/chartStyle" Target="style16.xml"/></Relationships>
</file>

<file path=word/charts/_rels/chart3.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Dropbox\2025.05.23%20-%20DCAF%20MAI%20PDOSC\Descriere%202025\2025%20Date%20OS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Downloads\Date%20comunicat_nivelul_infractionalitatii_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Downloads\Date%20comunicat_nivelul_infractionalitatii_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'BOP 2024'!$B$8</c:f>
              <c:strCache>
                <c:ptCount val="1"/>
                <c:pt idx="0">
                  <c:v>În siguranță deplină</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2024'!$C$8:$F$8</c:f>
              <c:numCache>
                <c:formatCode>0.0%</c:formatCode>
                <c:ptCount val="4"/>
                <c:pt idx="0">
                  <c:v>0.27900000000000003</c:v>
                </c:pt>
                <c:pt idx="1">
                  <c:v>0.47799999999999998</c:v>
                </c:pt>
                <c:pt idx="2">
                  <c:v>0.49399999999999999</c:v>
                </c:pt>
                <c:pt idx="3">
                  <c:v>0.59</c:v>
                </c:pt>
              </c:numCache>
            </c:numRef>
          </c:val>
          <c:extLst>
            <c:ext xmlns:c16="http://schemas.microsoft.com/office/drawing/2014/chart" uri="{C3380CC4-5D6E-409C-BE32-E72D297353CC}">
              <c16:uniqueId val="{00000000-FA05-4A79-ABA2-6DEC6C4B83F5}"/>
            </c:ext>
          </c:extLst>
        </c:ser>
        <c:ser>
          <c:idx val="1"/>
          <c:order val="1"/>
          <c:tx>
            <c:strRef>
              <c:f>'BOP 2024'!$B$9</c:f>
              <c:strCache>
                <c:ptCount val="1"/>
                <c:pt idx="0">
                  <c:v>Mai degrabă în siguranță</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2024'!$C$9:$F$9</c:f>
              <c:numCache>
                <c:formatCode>0.0%</c:formatCode>
                <c:ptCount val="4"/>
                <c:pt idx="0">
                  <c:v>0.32</c:v>
                </c:pt>
                <c:pt idx="1">
                  <c:v>0.36</c:v>
                </c:pt>
                <c:pt idx="2">
                  <c:v>0.36799999999999999</c:v>
                </c:pt>
                <c:pt idx="3">
                  <c:v>0.309</c:v>
                </c:pt>
              </c:numCache>
            </c:numRef>
          </c:val>
          <c:extLst>
            <c:ext xmlns:c16="http://schemas.microsoft.com/office/drawing/2014/chart" uri="{C3380CC4-5D6E-409C-BE32-E72D297353CC}">
              <c16:uniqueId val="{00000001-FA05-4A79-ABA2-6DEC6C4B83F5}"/>
            </c:ext>
          </c:extLst>
        </c:ser>
        <c:ser>
          <c:idx val="2"/>
          <c:order val="2"/>
          <c:tx>
            <c:strRef>
              <c:f>'BOP 2024'!$B$10</c:f>
              <c:strCache>
                <c:ptCount val="1"/>
                <c:pt idx="0">
                  <c:v>Mai degrabă nu în siguranță</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2024'!$C$10:$F$10</c:f>
              <c:numCache>
                <c:formatCode>0.0%</c:formatCode>
                <c:ptCount val="4"/>
                <c:pt idx="0">
                  <c:v>0.25600000000000001</c:v>
                </c:pt>
                <c:pt idx="1">
                  <c:v>0.13</c:v>
                </c:pt>
                <c:pt idx="2">
                  <c:v>0.104</c:v>
                </c:pt>
                <c:pt idx="3">
                  <c:v>7.2999999999999995E-2</c:v>
                </c:pt>
              </c:numCache>
            </c:numRef>
          </c:val>
          <c:extLst>
            <c:ext xmlns:c16="http://schemas.microsoft.com/office/drawing/2014/chart" uri="{C3380CC4-5D6E-409C-BE32-E72D297353CC}">
              <c16:uniqueId val="{00000002-FA05-4A79-ABA2-6DEC6C4B83F5}"/>
            </c:ext>
          </c:extLst>
        </c:ser>
        <c:ser>
          <c:idx val="3"/>
          <c:order val="3"/>
          <c:tx>
            <c:strRef>
              <c:f>'BOP 2024'!$B$11</c:f>
              <c:strCache>
                <c:ptCount val="1"/>
                <c:pt idx="0">
                  <c:v>Deloc nu mă simt în siguranță</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2024'!$C$11:$F$11</c:f>
              <c:numCache>
                <c:formatCode>0.0%</c:formatCode>
                <c:ptCount val="4"/>
                <c:pt idx="0">
                  <c:v>0.10199999999999999</c:v>
                </c:pt>
                <c:pt idx="1">
                  <c:v>0.03</c:v>
                </c:pt>
                <c:pt idx="2">
                  <c:v>3.1E-2</c:v>
                </c:pt>
                <c:pt idx="3">
                  <c:v>2.4E-2</c:v>
                </c:pt>
              </c:numCache>
            </c:numRef>
          </c:val>
          <c:extLst>
            <c:ext xmlns:c16="http://schemas.microsoft.com/office/drawing/2014/chart" uri="{C3380CC4-5D6E-409C-BE32-E72D297353CC}">
              <c16:uniqueId val="{00000003-FA05-4A79-ABA2-6DEC6C4B83F5}"/>
            </c:ext>
          </c:extLst>
        </c:ser>
        <c:dLbls>
          <c:showLegendKey val="0"/>
          <c:showVal val="0"/>
          <c:showCatName val="0"/>
          <c:showSerName val="0"/>
          <c:showPercent val="0"/>
          <c:showBubbleSize val="0"/>
        </c:dLbls>
        <c:gapWidth val="25"/>
        <c:overlap val="100"/>
        <c:axId val="1703587648"/>
        <c:axId val="1703576416"/>
        <c:extLst>
          <c:ext xmlns:c15="http://schemas.microsoft.com/office/drawing/2012/chart" uri="{02D57815-91ED-43cb-92C2-25804820EDAC}">
            <c15:filteredBarSeries>
              <c15:ser>
                <c:idx val="4"/>
                <c:order val="4"/>
                <c:tx>
                  <c:strRef>
                    <c:extLst>
                      <c:ext uri="{02D57815-91ED-43cb-92C2-25804820EDAC}">
                        <c15:formulaRef>
                          <c15:sqref>'BOP 2024'!$B$23</c15:sqref>
                        </c15:formulaRef>
                      </c:ext>
                    </c:extLst>
                    <c:strCache>
                      <c:ptCount val="1"/>
                      <c:pt idx="0">
                        <c:v>Nu știu / Nu răspund</c:v>
                      </c:pt>
                    </c:strCache>
                  </c:strRef>
                </c:tx>
                <c:spPr>
                  <a:solidFill>
                    <a:schemeClr val="accent5"/>
                  </a:solidFill>
                  <a:ln>
                    <a:noFill/>
                  </a:ln>
                  <a:effectLst/>
                </c:spPr>
                <c:invertIfNegative val="0"/>
                <c:cat>
                  <c:strRef>
                    <c:extLst>
                      <c:ext uri="{02D57815-91ED-43cb-92C2-25804820EDAC}">
                        <c15:formulaRef>
                          <c15:sqref>'BOP 2024'!$C$18:$F$18</c15:sqref>
                        </c15:formulaRef>
                      </c:ext>
                    </c:extLst>
                    <c:strCache>
                      <c:ptCount val="4"/>
                      <c:pt idx="0">
                        <c:v>Noaptea, pe stradă</c:v>
                      </c:pt>
                      <c:pt idx="1">
                        <c:v>Noaptea, acasă</c:v>
                      </c:pt>
                      <c:pt idx="2">
                        <c:v>Ziua, pe stradă</c:v>
                      </c:pt>
                      <c:pt idx="3">
                        <c:v>Ziua, acasă</c:v>
                      </c:pt>
                    </c:strCache>
                  </c:strRef>
                </c:cat>
                <c:val>
                  <c:numRef>
                    <c:extLst>
                      <c:ext uri="{02D57815-91ED-43cb-92C2-25804820EDAC}">
                        <c15:formulaRef>
                          <c15:sqref>'BOP 2024'!$C$23:$F$23</c15:sqref>
                        </c15:formulaRef>
                      </c:ext>
                    </c:extLst>
                    <c:numCache>
                      <c:formatCode>General</c:formatCode>
                      <c:ptCount val="4"/>
                    </c:numCache>
                  </c:numRef>
                </c:val>
                <c:extLst>
                  <c:ext xmlns:c16="http://schemas.microsoft.com/office/drawing/2014/chart" uri="{C3380CC4-5D6E-409C-BE32-E72D297353CC}">
                    <c16:uniqueId val="{00000004-FA05-4A79-ABA2-6DEC6C4B83F5}"/>
                  </c:ext>
                </c:extLst>
              </c15:ser>
            </c15:filteredBarSeries>
          </c:ext>
        </c:extLst>
      </c:barChart>
      <c:catAx>
        <c:axId val="170358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76416"/>
        <c:crosses val="autoZero"/>
        <c:auto val="1"/>
        <c:lblAlgn val="ctr"/>
        <c:lblOffset val="100"/>
        <c:noMultiLvlLbl val="0"/>
      </c:catAx>
      <c:valAx>
        <c:axId val="1703576416"/>
        <c:scaling>
          <c:orientation val="minMax"/>
        </c:scaling>
        <c:delete val="1"/>
        <c:axPos val="b"/>
        <c:numFmt formatCode="0%" sourceLinked="1"/>
        <c:majorTickMark val="none"/>
        <c:minorTickMark val="none"/>
        <c:tickLblPos val="nextTo"/>
        <c:crossAx val="170358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IGP!$B$10</c:f>
              <c:strCache>
                <c:ptCount val="1"/>
                <c:pt idx="0">
                  <c:v>Contravenții </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IGP!$C$9:$G$9</c:f>
              <c:numCache>
                <c:formatCode>General</c:formatCode>
                <c:ptCount val="5"/>
                <c:pt idx="0">
                  <c:v>2020</c:v>
                </c:pt>
                <c:pt idx="1">
                  <c:v>2021</c:v>
                </c:pt>
                <c:pt idx="2">
                  <c:v>2022</c:v>
                </c:pt>
                <c:pt idx="3">
                  <c:v>2023</c:v>
                </c:pt>
                <c:pt idx="4">
                  <c:v>2024</c:v>
                </c:pt>
              </c:numCache>
            </c:numRef>
          </c:cat>
          <c:val>
            <c:numRef>
              <c:f>IGP!$C$10:$G$10</c:f>
              <c:numCache>
                <c:formatCode>General</c:formatCode>
                <c:ptCount val="5"/>
                <c:pt idx="0">
                  <c:v>1587</c:v>
                </c:pt>
                <c:pt idx="1">
                  <c:v>1662</c:v>
                </c:pt>
                <c:pt idx="2">
                  <c:v>1619</c:v>
                </c:pt>
                <c:pt idx="3">
                  <c:v>1719</c:v>
                </c:pt>
                <c:pt idx="4">
                  <c:v>1741</c:v>
                </c:pt>
              </c:numCache>
            </c:numRef>
          </c:val>
          <c:extLst>
            <c:ext xmlns:c16="http://schemas.microsoft.com/office/drawing/2014/chart" uri="{C3380CC4-5D6E-409C-BE32-E72D297353CC}">
              <c16:uniqueId val="{00000000-6C2A-4CBB-9306-D6A2D855D2B7}"/>
            </c:ext>
          </c:extLst>
        </c:ser>
        <c:ser>
          <c:idx val="1"/>
          <c:order val="1"/>
          <c:tx>
            <c:strRef>
              <c:f>IGP!$B$11</c:f>
              <c:strCache>
                <c:ptCount val="1"/>
                <c:pt idx="0">
                  <c:v>Infracțiuni</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IGP!$C$9:$G$9</c:f>
              <c:numCache>
                <c:formatCode>General</c:formatCode>
                <c:ptCount val="5"/>
                <c:pt idx="0">
                  <c:v>2020</c:v>
                </c:pt>
                <c:pt idx="1">
                  <c:v>2021</c:v>
                </c:pt>
                <c:pt idx="2">
                  <c:v>2022</c:v>
                </c:pt>
                <c:pt idx="3">
                  <c:v>2023</c:v>
                </c:pt>
                <c:pt idx="4">
                  <c:v>2024</c:v>
                </c:pt>
              </c:numCache>
            </c:numRef>
          </c:cat>
          <c:val>
            <c:numRef>
              <c:f>IGP!$C$11:$G$11</c:f>
              <c:numCache>
                <c:formatCode>General</c:formatCode>
                <c:ptCount val="5"/>
                <c:pt idx="0">
                  <c:v>866</c:v>
                </c:pt>
                <c:pt idx="1">
                  <c:v>947</c:v>
                </c:pt>
                <c:pt idx="2">
                  <c:v>852</c:v>
                </c:pt>
                <c:pt idx="3">
                  <c:v>880</c:v>
                </c:pt>
                <c:pt idx="4">
                  <c:v>967</c:v>
                </c:pt>
              </c:numCache>
            </c:numRef>
          </c:val>
          <c:extLst>
            <c:ext xmlns:c16="http://schemas.microsoft.com/office/drawing/2014/chart" uri="{C3380CC4-5D6E-409C-BE32-E72D297353CC}">
              <c16:uniqueId val="{00000001-6C2A-4CBB-9306-D6A2D855D2B7}"/>
            </c:ext>
          </c:extLst>
        </c:ser>
        <c:dLbls>
          <c:showLegendKey val="0"/>
          <c:showVal val="0"/>
          <c:showCatName val="0"/>
          <c:showSerName val="0"/>
          <c:showPercent val="0"/>
          <c:showBubbleSize val="0"/>
        </c:dLbls>
        <c:gapWidth val="219"/>
        <c:overlap val="-27"/>
        <c:axId val="1661425920"/>
        <c:axId val="1661426336"/>
      </c:barChart>
      <c:catAx>
        <c:axId val="166142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1426336"/>
        <c:crosses val="autoZero"/>
        <c:auto val="1"/>
        <c:lblAlgn val="ctr"/>
        <c:lblOffset val="100"/>
        <c:noMultiLvlLbl val="0"/>
      </c:catAx>
      <c:valAx>
        <c:axId val="1661426336"/>
        <c:scaling>
          <c:orientation val="minMax"/>
        </c:scaling>
        <c:delete val="1"/>
        <c:axPos val="l"/>
        <c:numFmt formatCode="General" sourceLinked="1"/>
        <c:majorTickMark val="none"/>
        <c:minorTickMark val="none"/>
        <c:tickLblPos val="nextTo"/>
        <c:crossAx val="166142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CPD!$D$7</c:f>
              <c:strCache>
                <c:ptCount val="1"/>
                <c:pt idx="0">
                  <c:v>Populația generală</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CPD!$C$8:$C$11</c:f>
              <c:strCache>
                <c:ptCount val="4"/>
                <c:pt idx="0">
                  <c:v>Foarte multă încredere</c:v>
                </c:pt>
                <c:pt idx="1">
                  <c:v>Oarecare încredere</c:v>
                </c:pt>
                <c:pt idx="2">
                  <c:v>Nu prea am încredere</c:v>
                </c:pt>
                <c:pt idx="3">
                  <c:v>Nu am deloc încredere</c:v>
                </c:pt>
              </c:strCache>
            </c:strRef>
          </c:cat>
          <c:val>
            <c:numRef>
              <c:f>CPD!$D$8:$D$11</c:f>
              <c:numCache>
                <c:formatCode>0.0%</c:formatCode>
                <c:ptCount val="4"/>
                <c:pt idx="0">
                  <c:v>0.10199999999999999</c:v>
                </c:pt>
                <c:pt idx="1">
                  <c:v>0.38400000000000001</c:v>
                </c:pt>
                <c:pt idx="2">
                  <c:v>0.19400000000000001</c:v>
                </c:pt>
                <c:pt idx="3">
                  <c:v>0.27200000000000002</c:v>
                </c:pt>
              </c:numCache>
            </c:numRef>
          </c:val>
          <c:extLst>
            <c:ext xmlns:c16="http://schemas.microsoft.com/office/drawing/2014/chart" uri="{C3380CC4-5D6E-409C-BE32-E72D297353CC}">
              <c16:uniqueId val="{00000000-5345-4FCA-AB4A-F7413D13B5C4}"/>
            </c:ext>
          </c:extLst>
        </c:ser>
        <c:ser>
          <c:idx val="1"/>
          <c:order val="1"/>
          <c:tx>
            <c:strRef>
              <c:f>CPD!$E$7</c:f>
              <c:strCache>
                <c:ptCount val="1"/>
                <c:pt idx="0">
                  <c:v>Persoane cu dizabilități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CPD!$C$8:$C$11</c:f>
              <c:strCache>
                <c:ptCount val="4"/>
                <c:pt idx="0">
                  <c:v>Foarte multă încredere</c:v>
                </c:pt>
                <c:pt idx="1">
                  <c:v>Oarecare încredere</c:v>
                </c:pt>
                <c:pt idx="2">
                  <c:v>Nu prea am încredere</c:v>
                </c:pt>
                <c:pt idx="3">
                  <c:v>Nu am deloc încredere</c:v>
                </c:pt>
              </c:strCache>
            </c:strRef>
          </c:cat>
          <c:val>
            <c:numRef>
              <c:f>CPD!$E$8:$E$11</c:f>
              <c:numCache>
                <c:formatCode>0.0%</c:formatCode>
                <c:ptCount val="4"/>
                <c:pt idx="0">
                  <c:v>0.08</c:v>
                </c:pt>
                <c:pt idx="1">
                  <c:v>0.32400000000000001</c:v>
                </c:pt>
                <c:pt idx="2">
                  <c:v>0.16300000000000001</c:v>
                </c:pt>
                <c:pt idx="3">
                  <c:v>0.36499999999999999</c:v>
                </c:pt>
              </c:numCache>
            </c:numRef>
          </c:val>
          <c:extLst>
            <c:ext xmlns:c16="http://schemas.microsoft.com/office/drawing/2014/chart" uri="{C3380CC4-5D6E-409C-BE32-E72D297353CC}">
              <c16:uniqueId val="{00000001-5345-4FCA-AB4A-F7413D13B5C4}"/>
            </c:ext>
          </c:extLst>
        </c:ser>
        <c:ser>
          <c:idx val="2"/>
          <c:order val="2"/>
          <c:tx>
            <c:strRef>
              <c:f>CPD!$F$7</c:f>
              <c:strCache>
                <c:ptCount val="1"/>
                <c:pt idx="0">
                  <c:v>Persoane de etnie romă</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CPD!$C$8:$C$11</c:f>
              <c:strCache>
                <c:ptCount val="4"/>
                <c:pt idx="0">
                  <c:v>Foarte multă încredere</c:v>
                </c:pt>
                <c:pt idx="1">
                  <c:v>Oarecare încredere</c:v>
                </c:pt>
                <c:pt idx="2">
                  <c:v>Nu prea am încredere</c:v>
                </c:pt>
                <c:pt idx="3">
                  <c:v>Nu am deloc încredere</c:v>
                </c:pt>
              </c:strCache>
            </c:strRef>
          </c:cat>
          <c:val>
            <c:numRef>
              <c:f>CPD!$F$8:$F$11</c:f>
              <c:numCache>
                <c:formatCode>0.0%</c:formatCode>
                <c:ptCount val="4"/>
                <c:pt idx="0">
                  <c:v>0.17799999999999999</c:v>
                </c:pt>
                <c:pt idx="1">
                  <c:v>0.316</c:v>
                </c:pt>
                <c:pt idx="2">
                  <c:v>0.16800000000000001</c:v>
                </c:pt>
                <c:pt idx="3">
                  <c:v>0.30599999999999999</c:v>
                </c:pt>
              </c:numCache>
            </c:numRef>
          </c:val>
          <c:extLst>
            <c:ext xmlns:c16="http://schemas.microsoft.com/office/drawing/2014/chart" uri="{C3380CC4-5D6E-409C-BE32-E72D297353CC}">
              <c16:uniqueId val="{00000002-5345-4FCA-AB4A-F7413D13B5C4}"/>
            </c:ext>
          </c:extLst>
        </c:ser>
        <c:dLbls>
          <c:showLegendKey val="0"/>
          <c:showVal val="0"/>
          <c:showCatName val="0"/>
          <c:showSerName val="0"/>
          <c:showPercent val="0"/>
          <c:showBubbleSize val="0"/>
        </c:dLbls>
        <c:gapWidth val="219"/>
        <c:overlap val="-27"/>
        <c:axId val="636456608"/>
        <c:axId val="636457024"/>
      </c:barChart>
      <c:catAx>
        <c:axId val="63645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457024"/>
        <c:crosses val="autoZero"/>
        <c:auto val="1"/>
        <c:lblAlgn val="ctr"/>
        <c:lblOffset val="100"/>
        <c:noMultiLvlLbl val="0"/>
      </c:catAx>
      <c:valAx>
        <c:axId val="636457024"/>
        <c:scaling>
          <c:orientation val="minMax"/>
        </c:scaling>
        <c:delete val="1"/>
        <c:axPos val="l"/>
        <c:numFmt formatCode="0.0%" sourceLinked="1"/>
        <c:majorTickMark val="none"/>
        <c:minorTickMark val="none"/>
        <c:tickLblPos val="nextTo"/>
        <c:crossAx val="6364566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Vechimea!$L$22</c:f>
              <c:strCache>
                <c:ptCount val="1"/>
                <c:pt idx="0">
                  <c:v>2021 IGP</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Vechimea!$K$24:$K$28</c:f>
              <c:strCache>
                <c:ptCount val="5"/>
                <c:pt idx="0">
                  <c:v>0-5 ani </c:v>
                </c:pt>
                <c:pt idx="1">
                  <c:v>5-10 ani</c:v>
                </c:pt>
                <c:pt idx="2">
                  <c:v>10-15 ani</c:v>
                </c:pt>
                <c:pt idx="3">
                  <c:v>15-20 ani </c:v>
                </c:pt>
                <c:pt idx="4">
                  <c:v>&gt; 20 ani</c:v>
                </c:pt>
              </c:strCache>
            </c:strRef>
          </c:cat>
          <c:val>
            <c:numRef>
              <c:f>Vechimea!$L$24:$L$28</c:f>
              <c:numCache>
                <c:formatCode>0%</c:formatCode>
                <c:ptCount val="5"/>
                <c:pt idx="0">
                  <c:v>0.22157646204140938</c:v>
                </c:pt>
                <c:pt idx="1">
                  <c:v>0.23114178471969973</c:v>
                </c:pt>
                <c:pt idx="2">
                  <c:v>0.20062961617629252</c:v>
                </c:pt>
                <c:pt idx="3">
                  <c:v>0.1554667635306938</c:v>
                </c:pt>
                <c:pt idx="4">
                  <c:v>0.1911853735319046</c:v>
                </c:pt>
              </c:numCache>
            </c:numRef>
          </c:val>
          <c:extLst>
            <c:ext xmlns:c16="http://schemas.microsoft.com/office/drawing/2014/chart" uri="{C3380CC4-5D6E-409C-BE32-E72D297353CC}">
              <c16:uniqueId val="{00000000-04F7-480B-9AC9-8FAB79097CC1}"/>
            </c:ext>
          </c:extLst>
        </c:ser>
        <c:ser>
          <c:idx val="1"/>
          <c:order val="1"/>
          <c:tx>
            <c:strRef>
              <c:f>Vechimea!$N$22</c:f>
              <c:strCache>
                <c:ptCount val="1"/>
                <c:pt idx="0">
                  <c:v>2024 IGP</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Vechimea!$K$24:$K$28</c:f>
              <c:strCache>
                <c:ptCount val="5"/>
                <c:pt idx="0">
                  <c:v>0-5 ani </c:v>
                </c:pt>
                <c:pt idx="1">
                  <c:v>5-10 ani</c:v>
                </c:pt>
                <c:pt idx="2">
                  <c:v>10-15 ani</c:v>
                </c:pt>
                <c:pt idx="3">
                  <c:v>15-20 ani </c:v>
                </c:pt>
                <c:pt idx="4">
                  <c:v>&gt; 20 ani</c:v>
                </c:pt>
              </c:strCache>
            </c:strRef>
          </c:cat>
          <c:val>
            <c:numRef>
              <c:f>Vechimea!$N$24:$N$28</c:f>
              <c:numCache>
                <c:formatCode>0%</c:formatCode>
                <c:ptCount val="5"/>
                <c:pt idx="0">
                  <c:v>0.2416326530612245</c:v>
                </c:pt>
                <c:pt idx="1">
                  <c:v>0.21994169096209912</c:v>
                </c:pt>
                <c:pt idx="2">
                  <c:v>0.20594752186588922</c:v>
                </c:pt>
                <c:pt idx="3">
                  <c:v>0.16314868804664723</c:v>
                </c:pt>
                <c:pt idx="4">
                  <c:v>0.16932944606413994</c:v>
                </c:pt>
              </c:numCache>
            </c:numRef>
          </c:val>
          <c:extLst>
            <c:ext xmlns:c16="http://schemas.microsoft.com/office/drawing/2014/chart" uri="{C3380CC4-5D6E-409C-BE32-E72D297353CC}">
              <c16:uniqueId val="{00000001-04F7-480B-9AC9-8FAB79097CC1}"/>
            </c:ext>
          </c:extLst>
        </c:ser>
        <c:ser>
          <c:idx val="2"/>
          <c:order val="2"/>
          <c:tx>
            <c:strRef>
              <c:f>Vechimea!$O$22</c:f>
              <c:strCache>
                <c:ptCount val="1"/>
                <c:pt idx="0">
                  <c:v>2024 IGC</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Vechimea!$K$24:$K$28</c:f>
              <c:strCache>
                <c:ptCount val="5"/>
                <c:pt idx="0">
                  <c:v>0-5 ani </c:v>
                </c:pt>
                <c:pt idx="1">
                  <c:v>5-10 ani</c:v>
                </c:pt>
                <c:pt idx="2">
                  <c:v>10-15 ani</c:v>
                </c:pt>
                <c:pt idx="3">
                  <c:v>15-20 ani </c:v>
                </c:pt>
                <c:pt idx="4">
                  <c:v>&gt; 20 ani</c:v>
                </c:pt>
              </c:strCache>
            </c:strRef>
          </c:cat>
          <c:val>
            <c:numRef>
              <c:f>Vechimea!$O$24:$O$28</c:f>
              <c:numCache>
                <c:formatCode>0%</c:formatCode>
                <c:ptCount val="5"/>
                <c:pt idx="0">
                  <c:v>0.41623843782117165</c:v>
                </c:pt>
                <c:pt idx="1">
                  <c:v>0.20041109969167523</c:v>
                </c:pt>
                <c:pt idx="2">
                  <c:v>0.10483042137718397</c:v>
                </c:pt>
                <c:pt idx="3">
                  <c:v>0.10174717368961973</c:v>
                </c:pt>
                <c:pt idx="4">
                  <c:v>0.17677286742034942</c:v>
                </c:pt>
              </c:numCache>
            </c:numRef>
          </c:val>
          <c:extLst>
            <c:ext xmlns:c16="http://schemas.microsoft.com/office/drawing/2014/chart" uri="{C3380CC4-5D6E-409C-BE32-E72D297353CC}">
              <c16:uniqueId val="{00000002-04F7-480B-9AC9-8FAB79097CC1}"/>
            </c:ext>
          </c:extLst>
        </c:ser>
        <c:dLbls>
          <c:showLegendKey val="0"/>
          <c:showVal val="0"/>
          <c:showCatName val="0"/>
          <c:showSerName val="0"/>
          <c:showPercent val="0"/>
          <c:showBubbleSize val="0"/>
        </c:dLbls>
        <c:gapWidth val="219"/>
        <c:overlap val="-27"/>
        <c:axId val="2032972095"/>
        <c:axId val="2032973343"/>
      </c:barChart>
      <c:catAx>
        <c:axId val="203297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973343"/>
        <c:crosses val="autoZero"/>
        <c:auto val="1"/>
        <c:lblAlgn val="ctr"/>
        <c:lblOffset val="100"/>
        <c:noMultiLvlLbl val="0"/>
      </c:catAx>
      <c:valAx>
        <c:axId val="2032973343"/>
        <c:scaling>
          <c:orientation val="minMax"/>
        </c:scaling>
        <c:delete val="1"/>
        <c:axPos val="l"/>
        <c:numFmt formatCode="0%" sourceLinked="1"/>
        <c:majorTickMark val="none"/>
        <c:minorTickMark val="none"/>
        <c:tickLblPos val="nextTo"/>
        <c:crossAx val="20329720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2021</a:t>
            </a:r>
            <a:endParaRPr lang="ro-RO" sz="1100"/>
          </a:p>
        </c:rich>
      </c:tx>
      <c:overlay val="0"/>
    </c:title>
    <c:autoTitleDeleted val="0"/>
    <c:plotArea>
      <c:layout/>
      <c:barChart>
        <c:barDir val="col"/>
        <c:grouping val="percentStacked"/>
        <c:varyColors val="0"/>
        <c:ser>
          <c:idx val="0"/>
          <c:order val="0"/>
          <c:tx>
            <c:strRef>
              <c:f>'Femei 4'!$C$16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4'!$C$17:$C$24</c:f>
              <c:numCache>
                <c:formatCode>General</c:formatCode>
                <c:ptCount val="8"/>
                <c:pt idx="0" formatCode="0.0%">
                  <c:v>0.15625</c:v>
                </c:pt>
                <c:pt idx="3" formatCode="0.0%">
                  <c:v>0.22342046653381784</c:v>
                </c:pt>
                <c:pt idx="4" formatCode="0.0%">
                  <c:v>0.52752293577981646</c:v>
                </c:pt>
                <c:pt idx="5" formatCode="0.0%">
                  <c:v>0.15758401453224341</c:v>
                </c:pt>
                <c:pt idx="6" formatCode="0.0%">
                  <c:v>0.24644799158042449</c:v>
                </c:pt>
                <c:pt idx="7" formatCode="0.0%">
                  <c:v>0.13383600377002827</c:v>
                </c:pt>
              </c:numCache>
            </c:numRef>
          </c:val>
          <c:extLst>
            <c:ext xmlns:c16="http://schemas.microsoft.com/office/drawing/2014/chart" uri="{C3380CC4-5D6E-409C-BE32-E72D297353CC}">
              <c16:uniqueId val="{00000000-C033-4FA4-9A11-2463D3EB1BF7}"/>
            </c:ext>
          </c:extLst>
        </c:ser>
        <c:ser>
          <c:idx val="1"/>
          <c:order val="1"/>
          <c:tx>
            <c:strRef>
              <c:f>'Femei 4'!$D$16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4'!$D$17:$D$24</c:f>
              <c:numCache>
                <c:formatCode>General</c:formatCode>
                <c:ptCount val="8"/>
                <c:pt idx="0" formatCode="0.0%">
                  <c:v>0.84375</c:v>
                </c:pt>
                <c:pt idx="3" formatCode="0.0%">
                  <c:v>0.77657953346618214</c:v>
                </c:pt>
                <c:pt idx="4" formatCode="0.0%">
                  <c:v>0.47247706422018354</c:v>
                </c:pt>
                <c:pt idx="5" formatCode="0.0%">
                  <c:v>0.84241598546775665</c:v>
                </c:pt>
                <c:pt idx="6" formatCode="0.0%">
                  <c:v>0.75355200841957548</c:v>
                </c:pt>
                <c:pt idx="7" formatCode="0.0%">
                  <c:v>0.86616399622997176</c:v>
                </c:pt>
              </c:numCache>
            </c:numRef>
          </c:val>
          <c:extLst>
            <c:ext xmlns:c16="http://schemas.microsoft.com/office/drawing/2014/chart" uri="{C3380CC4-5D6E-409C-BE32-E72D297353CC}">
              <c16:uniqueId val="{00000001-C033-4FA4-9A11-2463D3EB1BF7}"/>
            </c:ext>
          </c:extLst>
        </c:ser>
        <c:dLbls>
          <c:showLegendKey val="0"/>
          <c:showVal val="1"/>
          <c:showCatName val="0"/>
          <c:showSerName val="0"/>
          <c:showPercent val="0"/>
          <c:showBubbleSize val="0"/>
        </c:dLbls>
        <c:gapWidth val="60"/>
        <c:overlap val="100"/>
        <c:axId val="101249024"/>
        <c:axId val="101250560"/>
      </c:barChart>
      <c:catAx>
        <c:axId val="101249024"/>
        <c:scaling>
          <c:orientation val="minMax"/>
        </c:scaling>
        <c:delete val="0"/>
        <c:axPos val="b"/>
        <c:numFmt formatCode="General" sourceLinked="0"/>
        <c:majorTickMark val="none"/>
        <c:minorTickMark val="none"/>
        <c:tickLblPos val="nextTo"/>
        <c:txPr>
          <a:bodyPr/>
          <a:lstStyle/>
          <a:p>
            <a:pPr>
              <a:defRPr sz="700"/>
            </a:pPr>
            <a:endParaRPr lang="en-US"/>
          </a:p>
        </c:txPr>
        <c:crossAx val="101250560"/>
        <c:crosses val="autoZero"/>
        <c:auto val="1"/>
        <c:lblAlgn val="ctr"/>
        <c:lblOffset val="100"/>
        <c:noMultiLvlLbl val="0"/>
      </c:catAx>
      <c:valAx>
        <c:axId val="101250560"/>
        <c:scaling>
          <c:orientation val="minMax"/>
        </c:scaling>
        <c:delete val="1"/>
        <c:axPos val="l"/>
        <c:numFmt formatCode="0%" sourceLinked="1"/>
        <c:majorTickMark val="out"/>
        <c:minorTickMark val="none"/>
        <c:tickLblPos val="none"/>
        <c:crossAx val="10124902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2024</a:t>
            </a:r>
            <a:endParaRPr lang="ro-RO" sz="1100"/>
          </a:p>
        </c:rich>
      </c:tx>
      <c:overlay val="0"/>
    </c:title>
    <c:autoTitleDeleted val="0"/>
    <c:plotArea>
      <c:layout/>
      <c:barChart>
        <c:barDir val="col"/>
        <c:grouping val="percentStacked"/>
        <c:varyColors val="0"/>
        <c:ser>
          <c:idx val="0"/>
          <c:order val="0"/>
          <c:tx>
            <c:strRef>
              <c:f>'Femei 4'!$G$16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4'!$G$17:$G$24</c:f>
              <c:numCache>
                <c:formatCode>0.0%</c:formatCode>
                <c:ptCount val="8"/>
                <c:pt idx="0">
                  <c:v>0.19424460431654678</c:v>
                </c:pt>
                <c:pt idx="1">
                  <c:v>0.24342105263157895</c:v>
                </c:pt>
                <c:pt idx="2">
                  <c:v>0.17189835575485798</c:v>
                </c:pt>
                <c:pt idx="3">
                  <c:v>0.23687845303867403</c:v>
                </c:pt>
                <c:pt idx="4">
                  <c:v>0.52820512820512822</c:v>
                </c:pt>
                <c:pt idx="5">
                  <c:v>0.17200854700854701</c:v>
                </c:pt>
                <c:pt idx="6">
                  <c:v>0.25792811839323465</c:v>
                </c:pt>
                <c:pt idx="7">
                  <c:v>0.12030905077262694</c:v>
                </c:pt>
              </c:numCache>
            </c:numRef>
          </c:val>
          <c:extLst>
            <c:ext xmlns:c16="http://schemas.microsoft.com/office/drawing/2014/chart" uri="{C3380CC4-5D6E-409C-BE32-E72D297353CC}">
              <c16:uniqueId val="{00000000-7D90-4119-8B1F-86487DBB57AC}"/>
            </c:ext>
          </c:extLst>
        </c:ser>
        <c:ser>
          <c:idx val="1"/>
          <c:order val="1"/>
          <c:tx>
            <c:strRef>
              <c:f>'Femei 4'!$H$16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4'!$H$17:$H$24</c:f>
              <c:numCache>
                <c:formatCode>0.0%</c:formatCode>
                <c:ptCount val="8"/>
                <c:pt idx="0">
                  <c:v>0.80575539568345322</c:v>
                </c:pt>
                <c:pt idx="1">
                  <c:v>0.75657894736842102</c:v>
                </c:pt>
                <c:pt idx="2">
                  <c:v>0.82810164424514199</c:v>
                </c:pt>
                <c:pt idx="3">
                  <c:v>0.76312154696132595</c:v>
                </c:pt>
                <c:pt idx="4">
                  <c:v>0.47179487179487178</c:v>
                </c:pt>
                <c:pt idx="5">
                  <c:v>0.82799145299145294</c:v>
                </c:pt>
                <c:pt idx="6">
                  <c:v>0.74207188160676529</c:v>
                </c:pt>
                <c:pt idx="7">
                  <c:v>0.87969094922737312</c:v>
                </c:pt>
              </c:numCache>
            </c:numRef>
          </c:val>
          <c:extLst>
            <c:ext xmlns:c16="http://schemas.microsoft.com/office/drawing/2014/chart" uri="{C3380CC4-5D6E-409C-BE32-E72D297353CC}">
              <c16:uniqueId val="{00000001-7D90-4119-8B1F-86487DBB57AC}"/>
            </c:ext>
          </c:extLst>
        </c:ser>
        <c:dLbls>
          <c:showLegendKey val="0"/>
          <c:showVal val="1"/>
          <c:showCatName val="0"/>
          <c:showSerName val="0"/>
          <c:showPercent val="0"/>
          <c:showBubbleSize val="0"/>
        </c:dLbls>
        <c:gapWidth val="60"/>
        <c:overlap val="100"/>
        <c:axId val="101249024"/>
        <c:axId val="101250560"/>
      </c:barChart>
      <c:catAx>
        <c:axId val="101249024"/>
        <c:scaling>
          <c:orientation val="minMax"/>
        </c:scaling>
        <c:delete val="0"/>
        <c:axPos val="b"/>
        <c:numFmt formatCode="General" sourceLinked="0"/>
        <c:majorTickMark val="none"/>
        <c:minorTickMark val="none"/>
        <c:tickLblPos val="nextTo"/>
        <c:txPr>
          <a:bodyPr/>
          <a:lstStyle/>
          <a:p>
            <a:pPr>
              <a:defRPr sz="700"/>
            </a:pPr>
            <a:endParaRPr lang="en-US"/>
          </a:p>
        </c:txPr>
        <c:crossAx val="101250560"/>
        <c:crosses val="autoZero"/>
        <c:auto val="1"/>
        <c:lblAlgn val="ctr"/>
        <c:lblOffset val="100"/>
        <c:noMultiLvlLbl val="0"/>
      </c:catAx>
      <c:valAx>
        <c:axId val="101250560"/>
        <c:scaling>
          <c:orientation val="minMax"/>
        </c:scaling>
        <c:delete val="1"/>
        <c:axPos val="l"/>
        <c:numFmt formatCode="0%" sourceLinked="1"/>
        <c:majorTickMark val="out"/>
        <c:minorTickMark val="none"/>
        <c:tickLblPos val="none"/>
        <c:crossAx val="101249024"/>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2021</a:t>
            </a:r>
            <a:endParaRPr lang="ro-RO" sz="1100"/>
          </a:p>
        </c:rich>
      </c:tx>
      <c:overlay val="0"/>
    </c:title>
    <c:autoTitleDeleted val="0"/>
    <c:plotArea>
      <c:layout/>
      <c:barChart>
        <c:barDir val="col"/>
        <c:grouping val="percentStacked"/>
        <c:varyColors val="0"/>
        <c:ser>
          <c:idx val="0"/>
          <c:order val="0"/>
          <c:tx>
            <c:strRef>
              <c:f>'Femei 4'!$E$16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4'!$E$17:$E$24</c:f>
              <c:numCache>
                <c:formatCode>General</c:formatCode>
                <c:ptCount val="8"/>
                <c:pt idx="0" formatCode="0.0%">
                  <c:v>8.6567164179104483E-2</c:v>
                </c:pt>
                <c:pt idx="3" formatCode="0.0%">
                  <c:v>0.10606060606060606</c:v>
                </c:pt>
                <c:pt idx="4" formatCode="0.0%">
                  <c:v>0.13043478260869565</c:v>
                </c:pt>
                <c:pt idx="5" formatCode="0.0%">
                  <c:v>0.14224137931034483</c:v>
                </c:pt>
                <c:pt idx="6" formatCode="0.0%">
                  <c:v>9.1036414565826326E-2</c:v>
                </c:pt>
                <c:pt idx="7" formatCode="0.0%">
                  <c:v>0.13698630136986301</c:v>
                </c:pt>
              </c:numCache>
            </c:numRef>
          </c:val>
          <c:extLst>
            <c:ext xmlns:c16="http://schemas.microsoft.com/office/drawing/2014/chart" uri="{C3380CC4-5D6E-409C-BE32-E72D297353CC}">
              <c16:uniqueId val="{00000000-C89A-410E-9B82-5660E66984B4}"/>
            </c:ext>
          </c:extLst>
        </c:ser>
        <c:ser>
          <c:idx val="1"/>
          <c:order val="1"/>
          <c:tx>
            <c:strRef>
              <c:f>'Femei 4'!$F$16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4'!$F$17:$F$24</c:f>
              <c:numCache>
                <c:formatCode>General</c:formatCode>
                <c:ptCount val="8"/>
                <c:pt idx="0" formatCode="0.0%">
                  <c:v>0.91343283582089552</c:v>
                </c:pt>
                <c:pt idx="3" formatCode="0.0%">
                  <c:v>0.89393939393939392</c:v>
                </c:pt>
                <c:pt idx="4" formatCode="0.0%">
                  <c:v>0.86956521739130432</c:v>
                </c:pt>
                <c:pt idx="5" formatCode="0.0%">
                  <c:v>0.85775862068965514</c:v>
                </c:pt>
                <c:pt idx="6" formatCode="0.0%">
                  <c:v>0.90896358543417366</c:v>
                </c:pt>
                <c:pt idx="7" formatCode="0.0%">
                  <c:v>0.86301369863013699</c:v>
                </c:pt>
              </c:numCache>
            </c:numRef>
          </c:val>
          <c:extLst>
            <c:ext xmlns:c16="http://schemas.microsoft.com/office/drawing/2014/chart" uri="{C3380CC4-5D6E-409C-BE32-E72D297353CC}">
              <c16:uniqueId val="{00000001-C89A-410E-9B82-5660E66984B4}"/>
            </c:ext>
          </c:extLst>
        </c:ser>
        <c:dLbls>
          <c:showLegendKey val="0"/>
          <c:showVal val="1"/>
          <c:showCatName val="0"/>
          <c:showSerName val="0"/>
          <c:showPercent val="0"/>
          <c:showBubbleSize val="0"/>
        </c:dLbls>
        <c:gapWidth val="60"/>
        <c:overlap val="100"/>
        <c:axId val="101284480"/>
        <c:axId val="101286272"/>
      </c:barChart>
      <c:catAx>
        <c:axId val="101284480"/>
        <c:scaling>
          <c:orientation val="minMax"/>
        </c:scaling>
        <c:delete val="0"/>
        <c:axPos val="b"/>
        <c:numFmt formatCode="General" sourceLinked="0"/>
        <c:majorTickMark val="none"/>
        <c:minorTickMark val="none"/>
        <c:tickLblPos val="nextTo"/>
        <c:txPr>
          <a:bodyPr/>
          <a:lstStyle/>
          <a:p>
            <a:pPr>
              <a:defRPr sz="700"/>
            </a:pPr>
            <a:endParaRPr lang="en-US"/>
          </a:p>
        </c:txPr>
        <c:crossAx val="101286272"/>
        <c:crosses val="autoZero"/>
        <c:auto val="1"/>
        <c:lblAlgn val="ctr"/>
        <c:lblOffset val="100"/>
        <c:noMultiLvlLbl val="0"/>
      </c:catAx>
      <c:valAx>
        <c:axId val="101286272"/>
        <c:scaling>
          <c:orientation val="minMax"/>
        </c:scaling>
        <c:delete val="1"/>
        <c:axPos val="l"/>
        <c:numFmt formatCode="0%" sourceLinked="1"/>
        <c:majorTickMark val="out"/>
        <c:minorTickMark val="none"/>
        <c:tickLblPos val="none"/>
        <c:crossAx val="10128448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100" baseline="0"/>
              <a:t>2024</a:t>
            </a:r>
            <a:endParaRPr lang="ro-RO" sz="1100"/>
          </a:p>
        </c:rich>
      </c:tx>
      <c:overlay val="0"/>
    </c:title>
    <c:autoTitleDeleted val="0"/>
    <c:plotArea>
      <c:layout/>
      <c:barChart>
        <c:barDir val="col"/>
        <c:grouping val="percentStacked"/>
        <c:varyColors val="0"/>
        <c:ser>
          <c:idx val="0"/>
          <c:order val="0"/>
          <c:tx>
            <c:strRef>
              <c:f>'Femei 4'!$I$16</c:f>
              <c:strCache>
                <c:ptCount val="1"/>
                <c:pt idx="0">
                  <c:v>Feminin</c:v>
                </c:pt>
              </c:strCache>
            </c:strRef>
          </c:tx>
          <c:spPr>
            <a:solidFill>
              <a:schemeClr val="accent1">
                <a:lumMod val="60000"/>
                <a:lumOff val="4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4'!$I$17:$I$24</c:f>
              <c:numCache>
                <c:formatCode>0.0%</c:formatCode>
                <c:ptCount val="8"/>
                <c:pt idx="0">
                  <c:v>0.1377245508982036</c:v>
                </c:pt>
                <c:pt idx="1">
                  <c:v>0.24193548387096775</c:v>
                </c:pt>
                <c:pt idx="2">
                  <c:v>0.11397058823529412</c:v>
                </c:pt>
                <c:pt idx="3">
                  <c:v>0.12107101280558789</c:v>
                </c:pt>
                <c:pt idx="4">
                  <c:v>0.2857142857142857</c:v>
                </c:pt>
                <c:pt idx="5">
                  <c:v>0.12781954887218044</c:v>
                </c:pt>
                <c:pt idx="6">
                  <c:v>0.10517799352750809</c:v>
                </c:pt>
                <c:pt idx="7">
                  <c:v>0.15151515151515152</c:v>
                </c:pt>
              </c:numCache>
            </c:numRef>
          </c:val>
          <c:extLst>
            <c:ext xmlns:c16="http://schemas.microsoft.com/office/drawing/2014/chart" uri="{C3380CC4-5D6E-409C-BE32-E72D297353CC}">
              <c16:uniqueId val="{00000000-76B6-4882-ABB9-C946CE033C14}"/>
            </c:ext>
          </c:extLst>
        </c:ser>
        <c:ser>
          <c:idx val="1"/>
          <c:order val="1"/>
          <c:tx>
            <c:strRef>
              <c:f>'Femei 4'!$J$16</c:f>
              <c:strCache>
                <c:ptCount val="1"/>
                <c:pt idx="0">
                  <c:v>Masculin</c:v>
                </c:pt>
              </c:strCache>
            </c:strRef>
          </c:tx>
          <c:spPr>
            <a:solidFill>
              <a:srgbClr val="002060"/>
            </a:solidFill>
          </c:spPr>
          <c:invertIfNegative val="0"/>
          <c:dLbls>
            <c:spPr>
              <a:noFill/>
              <a:ln>
                <a:noFill/>
              </a:ln>
              <a:effectLst/>
            </c:spPr>
            <c:txPr>
              <a:bodyPr/>
              <a:lstStyle/>
              <a:p>
                <a:pPr>
                  <a:defRPr b="1">
                    <a:solidFill>
                      <a:schemeClr val="bg1">
                        <a:lumMod val="95000"/>
                      </a:schemeClr>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4'!$B$17:$B$24</c:f>
              <c:strCache>
                <c:ptCount val="8"/>
                <c:pt idx="0">
                  <c:v>IGC 
(Total)</c:v>
                </c:pt>
                <c:pt idx="1">
                  <c:v>IGC 
(Comandamentul general)</c:v>
                </c:pt>
                <c:pt idx="2">
                  <c:v>IGC 
(Subdiviziuni regionale)</c:v>
                </c:pt>
                <c:pt idx="3">
                  <c:v>IGP 
(total fără INI)</c:v>
                </c:pt>
                <c:pt idx="4">
                  <c:v>IGP 
(Aparatul)</c:v>
                </c:pt>
                <c:pt idx="5">
                  <c:v>IGP 
(Subdiviziuni specializate)</c:v>
                </c:pt>
                <c:pt idx="6">
                  <c:v>IGP 
(Subidiviziuni teritoriale)</c:v>
                </c:pt>
                <c:pt idx="7">
                  <c:v>INSP</c:v>
                </c:pt>
              </c:strCache>
            </c:strRef>
          </c:cat>
          <c:val>
            <c:numRef>
              <c:f>'Femei 4'!$J$17:$J$24</c:f>
              <c:numCache>
                <c:formatCode>0.0%</c:formatCode>
                <c:ptCount val="8"/>
                <c:pt idx="0">
                  <c:v>0.86227544910179643</c:v>
                </c:pt>
                <c:pt idx="1">
                  <c:v>0.75806451612903225</c:v>
                </c:pt>
                <c:pt idx="2">
                  <c:v>0.88602941176470584</c:v>
                </c:pt>
                <c:pt idx="3">
                  <c:v>0.87892898719441215</c:v>
                </c:pt>
                <c:pt idx="4">
                  <c:v>0.7142857142857143</c:v>
                </c:pt>
                <c:pt idx="5">
                  <c:v>0.8721804511278195</c:v>
                </c:pt>
                <c:pt idx="6">
                  <c:v>0.89482200647249188</c:v>
                </c:pt>
                <c:pt idx="7">
                  <c:v>0.84848484848484851</c:v>
                </c:pt>
              </c:numCache>
            </c:numRef>
          </c:val>
          <c:extLst>
            <c:ext xmlns:c16="http://schemas.microsoft.com/office/drawing/2014/chart" uri="{C3380CC4-5D6E-409C-BE32-E72D297353CC}">
              <c16:uniqueId val="{00000001-76B6-4882-ABB9-C946CE033C14}"/>
            </c:ext>
          </c:extLst>
        </c:ser>
        <c:dLbls>
          <c:showLegendKey val="0"/>
          <c:showVal val="1"/>
          <c:showCatName val="0"/>
          <c:showSerName val="0"/>
          <c:showPercent val="0"/>
          <c:showBubbleSize val="0"/>
        </c:dLbls>
        <c:gapWidth val="60"/>
        <c:overlap val="100"/>
        <c:axId val="101284480"/>
        <c:axId val="101286272"/>
      </c:barChart>
      <c:catAx>
        <c:axId val="101284480"/>
        <c:scaling>
          <c:orientation val="minMax"/>
        </c:scaling>
        <c:delete val="0"/>
        <c:axPos val="b"/>
        <c:numFmt formatCode="General" sourceLinked="0"/>
        <c:majorTickMark val="none"/>
        <c:minorTickMark val="none"/>
        <c:tickLblPos val="nextTo"/>
        <c:txPr>
          <a:bodyPr/>
          <a:lstStyle/>
          <a:p>
            <a:pPr>
              <a:defRPr sz="700"/>
            </a:pPr>
            <a:endParaRPr lang="en-US"/>
          </a:p>
        </c:txPr>
        <c:crossAx val="101286272"/>
        <c:crosses val="autoZero"/>
        <c:auto val="1"/>
        <c:lblAlgn val="ctr"/>
        <c:lblOffset val="100"/>
        <c:noMultiLvlLbl val="0"/>
      </c:catAx>
      <c:valAx>
        <c:axId val="101286272"/>
        <c:scaling>
          <c:orientation val="minMax"/>
        </c:scaling>
        <c:delete val="1"/>
        <c:axPos val="l"/>
        <c:numFmt formatCode="0%" sourceLinked="1"/>
        <c:majorTickMark val="out"/>
        <c:minorTickMark val="none"/>
        <c:tickLblPos val="none"/>
        <c:crossAx val="101284480"/>
        <c:crosses val="autoZero"/>
        <c:crossBetween val="between"/>
      </c:valAx>
    </c:plotArea>
    <c:legend>
      <c:legendPos val="t"/>
      <c:overlay val="0"/>
    </c:legend>
    <c:plotVisOnly val="1"/>
    <c:dispBlanksAs val="gap"/>
    <c:showDLblsOverMax val="0"/>
  </c:chart>
  <c:spPr>
    <a:ln>
      <a:noFill/>
    </a:ln>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Femei!$F$22</c:f>
              <c:strCache>
                <c:ptCount val="1"/>
                <c:pt idx="0">
                  <c:v>IGP 2021</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Femei!$B$23:$B$26</c:f>
              <c:strCache>
                <c:ptCount val="4"/>
                <c:pt idx="0">
                  <c:v>administrative</c:v>
                </c:pt>
                <c:pt idx="1">
                  <c:v>investigații</c:v>
                </c:pt>
                <c:pt idx="2">
                  <c:v>urmărire penală</c:v>
                </c:pt>
                <c:pt idx="3">
                  <c:v>ordine publică</c:v>
                </c:pt>
              </c:strCache>
            </c:strRef>
          </c:cat>
          <c:val>
            <c:numRef>
              <c:f>Femei!$F$23:$F$26</c:f>
              <c:numCache>
                <c:formatCode>0%</c:formatCode>
                <c:ptCount val="4"/>
                <c:pt idx="0">
                  <c:v>0.52122347066167296</c:v>
                </c:pt>
                <c:pt idx="1">
                  <c:v>7.1785268414481893E-2</c:v>
                </c:pt>
                <c:pt idx="2">
                  <c:v>0.15730337078651685</c:v>
                </c:pt>
                <c:pt idx="3">
                  <c:v>0.24968789013732834</c:v>
                </c:pt>
              </c:numCache>
            </c:numRef>
          </c:val>
          <c:extLst>
            <c:ext xmlns:c16="http://schemas.microsoft.com/office/drawing/2014/chart" uri="{C3380CC4-5D6E-409C-BE32-E72D297353CC}">
              <c16:uniqueId val="{00000000-85B2-4ACF-9603-CE37E555E17E}"/>
            </c:ext>
          </c:extLst>
        </c:ser>
        <c:ser>
          <c:idx val="1"/>
          <c:order val="1"/>
          <c:tx>
            <c:strRef>
              <c:f>Femei!$G$22</c:f>
              <c:strCache>
                <c:ptCount val="1"/>
                <c:pt idx="0">
                  <c:v>IGP 2024</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Femei!$B$23:$B$26</c:f>
              <c:strCache>
                <c:ptCount val="4"/>
                <c:pt idx="0">
                  <c:v>administrative</c:v>
                </c:pt>
                <c:pt idx="1">
                  <c:v>investigații</c:v>
                </c:pt>
                <c:pt idx="2">
                  <c:v>urmărire penală</c:v>
                </c:pt>
                <c:pt idx="3">
                  <c:v>ordine publică</c:v>
                </c:pt>
              </c:strCache>
            </c:strRef>
          </c:cat>
          <c:val>
            <c:numRef>
              <c:f>Femei!$G$23:$G$26</c:f>
              <c:numCache>
                <c:formatCode>0%</c:formatCode>
                <c:ptCount val="4"/>
                <c:pt idx="0">
                  <c:v>0.41678224687933424</c:v>
                </c:pt>
                <c:pt idx="1">
                  <c:v>8.4604715672676842E-2</c:v>
                </c:pt>
                <c:pt idx="2">
                  <c:v>0.1553398058252427</c:v>
                </c:pt>
                <c:pt idx="3">
                  <c:v>0.3432732316227462</c:v>
                </c:pt>
              </c:numCache>
            </c:numRef>
          </c:val>
          <c:extLst>
            <c:ext xmlns:c16="http://schemas.microsoft.com/office/drawing/2014/chart" uri="{C3380CC4-5D6E-409C-BE32-E72D297353CC}">
              <c16:uniqueId val="{00000001-85B2-4ACF-9603-CE37E555E17E}"/>
            </c:ext>
          </c:extLst>
        </c:ser>
        <c:dLbls>
          <c:showLegendKey val="0"/>
          <c:showVal val="0"/>
          <c:showCatName val="0"/>
          <c:showSerName val="0"/>
          <c:showPercent val="0"/>
          <c:showBubbleSize val="0"/>
        </c:dLbls>
        <c:gapWidth val="219"/>
        <c:overlap val="-27"/>
        <c:axId val="841352848"/>
        <c:axId val="841354096"/>
      </c:barChart>
      <c:catAx>
        <c:axId val="84135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354096"/>
        <c:crosses val="autoZero"/>
        <c:auto val="1"/>
        <c:lblAlgn val="ctr"/>
        <c:lblOffset val="100"/>
        <c:noMultiLvlLbl val="0"/>
      </c:catAx>
      <c:valAx>
        <c:axId val="841354096"/>
        <c:scaling>
          <c:orientation val="minMax"/>
        </c:scaling>
        <c:delete val="1"/>
        <c:axPos val="l"/>
        <c:numFmt formatCode="0%" sourceLinked="1"/>
        <c:majorTickMark val="none"/>
        <c:minorTickMark val="none"/>
        <c:tickLblPos val="nextTo"/>
        <c:crossAx val="8413528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ro-RO" sz="1000" b="0"/>
              <a:t>IGC 2024</a:t>
            </a:r>
            <a:endParaRPr lang="en-US" sz="1000" b="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Femei!$G$35</c:f>
              <c:strCache>
                <c:ptCount val="1"/>
                <c:pt idx="0">
                  <c:v>IGC 2024</c:v>
                </c:pt>
              </c:strCache>
            </c:strRef>
          </c:tx>
          <c:spPr>
            <a:solidFill>
              <a:schemeClr val="accent5">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Femei!$B$36:$B$37</c:f>
              <c:strCache>
                <c:ptCount val="2"/>
                <c:pt idx="0">
                  <c:v>administrative</c:v>
                </c:pt>
                <c:pt idx="1">
                  <c:v>ordine şi securitate publică / pază ambasade</c:v>
                </c:pt>
              </c:strCache>
            </c:strRef>
          </c:cat>
          <c:val>
            <c:numRef>
              <c:f>Femei!$G$36:$G$37</c:f>
              <c:numCache>
                <c:formatCode>0%</c:formatCode>
                <c:ptCount val="2"/>
                <c:pt idx="0">
                  <c:v>0.61616161616161613</c:v>
                </c:pt>
                <c:pt idx="1">
                  <c:v>0.38383838383838381</c:v>
                </c:pt>
              </c:numCache>
            </c:numRef>
          </c:val>
          <c:extLst>
            <c:ext xmlns:c16="http://schemas.microsoft.com/office/drawing/2014/chart" uri="{C3380CC4-5D6E-409C-BE32-E72D297353CC}">
              <c16:uniqueId val="{00000000-3F6C-4CB3-A131-78DD88E9E2F4}"/>
            </c:ext>
          </c:extLst>
        </c:ser>
        <c:dLbls>
          <c:showLegendKey val="0"/>
          <c:showVal val="0"/>
          <c:showCatName val="0"/>
          <c:showSerName val="0"/>
          <c:showPercent val="0"/>
          <c:showBubbleSize val="0"/>
        </c:dLbls>
        <c:gapWidth val="500"/>
        <c:overlap val="-27"/>
        <c:axId val="2032961695"/>
        <c:axId val="2032957119"/>
      </c:barChart>
      <c:catAx>
        <c:axId val="2032961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957119"/>
        <c:crosses val="autoZero"/>
        <c:auto val="1"/>
        <c:lblAlgn val="ctr"/>
        <c:lblOffset val="100"/>
        <c:noMultiLvlLbl val="0"/>
      </c:catAx>
      <c:valAx>
        <c:axId val="2032957119"/>
        <c:scaling>
          <c:orientation val="minMax"/>
        </c:scaling>
        <c:delete val="1"/>
        <c:axPos val="l"/>
        <c:numFmt formatCode="0%" sourceLinked="1"/>
        <c:majorTickMark val="none"/>
        <c:minorTickMark val="none"/>
        <c:tickLblPos val="nextTo"/>
        <c:crossAx val="2032961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'IGP ultrag tortur'!$B$4</c:f>
              <c:strCache>
                <c:ptCount val="1"/>
                <c:pt idx="0">
                  <c:v>Maltratări IGP</c:v>
                </c:pt>
              </c:strCache>
            </c:strRef>
          </c:tx>
          <c:spPr>
            <a:solidFill>
              <a:schemeClr val="accent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tortur'!$D$4:$K$4</c:f>
              <c:numCache>
                <c:formatCode>General</c:formatCode>
                <c:ptCount val="8"/>
                <c:pt idx="0">
                  <c:v>258</c:v>
                </c:pt>
                <c:pt idx="1">
                  <c:v>146</c:v>
                </c:pt>
                <c:pt idx="2">
                  <c:v>111</c:v>
                </c:pt>
                <c:pt idx="3">
                  <c:v>131</c:v>
                </c:pt>
                <c:pt idx="4">
                  <c:v>160</c:v>
                </c:pt>
                <c:pt idx="5">
                  <c:v>165</c:v>
                </c:pt>
                <c:pt idx="6">
                  <c:v>144</c:v>
                </c:pt>
                <c:pt idx="7">
                  <c:v>153</c:v>
                </c:pt>
              </c:numCache>
            </c:numRef>
          </c:val>
          <c:extLst>
            <c:ext xmlns:c16="http://schemas.microsoft.com/office/drawing/2014/chart" uri="{C3380CC4-5D6E-409C-BE32-E72D297353CC}">
              <c16:uniqueId val="{00000000-E7BB-46C0-AB73-C319B26381A1}"/>
            </c:ext>
          </c:extLst>
        </c:ser>
        <c:ser>
          <c:idx val="1"/>
          <c:order val="1"/>
          <c:tx>
            <c:strRef>
              <c:f>'IGP ultrag tortur'!$C$5</c:f>
              <c:strCache>
                <c:ptCount val="1"/>
                <c:pt idx="0">
                  <c:v>Angajați maltratați</c:v>
                </c:pt>
              </c:strCache>
            </c:strRef>
          </c:tx>
          <c:spPr>
            <a:solidFill>
              <a:schemeClr val="bg1">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tortur'!$D$5:$K$5</c:f>
              <c:numCache>
                <c:formatCode>General</c:formatCode>
                <c:ptCount val="8"/>
                <c:pt idx="0">
                  <c:v>304</c:v>
                </c:pt>
                <c:pt idx="1">
                  <c:v>204</c:v>
                </c:pt>
                <c:pt idx="2">
                  <c:v>176</c:v>
                </c:pt>
                <c:pt idx="3">
                  <c:v>215</c:v>
                </c:pt>
                <c:pt idx="4">
                  <c:v>274</c:v>
                </c:pt>
                <c:pt idx="5">
                  <c:v>286</c:v>
                </c:pt>
                <c:pt idx="6">
                  <c:v>258</c:v>
                </c:pt>
                <c:pt idx="7">
                  <c:v>259</c:v>
                </c:pt>
              </c:numCache>
            </c:numRef>
          </c:val>
          <c:extLst>
            <c:ext xmlns:c16="http://schemas.microsoft.com/office/drawing/2014/chart" uri="{C3380CC4-5D6E-409C-BE32-E72D297353CC}">
              <c16:uniqueId val="{00000001-E7BB-46C0-AB73-C319B26381A1}"/>
            </c:ext>
          </c:extLst>
        </c:ser>
        <c:ser>
          <c:idx val="2"/>
          <c:order val="2"/>
          <c:tx>
            <c:strRef>
              <c:f>'IGP ultrag tortur'!$B$9</c:f>
              <c:strCache>
                <c:ptCount val="1"/>
                <c:pt idx="0">
                  <c:v>Ultragieri IGP</c:v>
                </c:pt>
              </c:strCache>
            </c:strRef>
          </c:tx>
          <c:spPr>
            <a:solidFill>
              <a:schemeClr val="accent1">
                <a:lumMod val="40000"/>
                <a:lumOff val="60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tortur'!$D$9:$K$9</c:f>
              <c:numCache>
                <c:formatCode>General</c:formatCode>
                <c:ptCount val="8"/>
                <c:pt idx="0">
                  <c:v>283</c:v>
                </c:pt>
                <c:pt idx="1">
                  <c:v>183</c:v>
                </c:pt>
                <c:pt idx="2">
                  <c:v>166</c:v>
                </c:pt>
                <c:pt idx="3">
                  <c:v>573</c:v>
                </c:pt>
                <c:pt idx="4">
                  <c:v>1090</c:v>
                </c:pt>
                <c:pt idx="5">
                  <c:v>467</c:v>
                </c:pt>
                <c:pt idx="6">
                  <c:v>447</c:v>
                </c:pt>
                <c:pt idx="7">
                  <c:v>442</c:v>
                </c:pt>
              </c:numCache>
            </c:numRef>
          </c:val>
          <c:extLst>
            <c:ext xmlns:c16="http://schemas.microsoft.com/office/drawing/2014/chart" uri="{C3380CC4-5D6E-409C-BE32-E72D297353CC}">
              <c16:uniqueId val="{00000002-E7BB-46C0-AB73-C319B26381A1}"/>
            </c:ext>
          </c:extLst>
        </c:ser>
        <c:ser>
          <c:idx val="3"/>
          <c:order val="3"/>
          <c:tx>
            <c:strRef>
              <c:f>'IGP ultrag tortur'!$B$10</c:f>
              <c:strCache>
                <c:ptCount val="1"/>
                <c:pt idx="0">
                  <c:v>Ultragieri IGC</c:v>
                </c:pt>
              </c:strCache>
            </c:strRef>
          </c:tx>
          <c:spPr>
            <a:solidFill>
              <a:schemeClr val="tx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tortur'!$D$10:$K$10</c:f>
              <c:numCache>
                <c:formatCode>General</c:formatCode>
                <c:ptCount val="8"/>
                <c:pt idx="0">
                  <c:v>42</c:v>
                </c:pt>
                <c:pt idx="1">
                  <c:v>59</c:v>
                </c:pt>
                <c:pt idx="2">
                  <c:v>29</c:v>
                </c:pt>
                <c:pt idx="3">
                  <c:v>22</c:v>
                </c:pt>
                <c:pt idx="4">
                  <c:v>19</c:v>
                </c:pt>
                <c:pt idx="5">
                  <c:v>4</c:v>
                </c:pt>
                <c:pt idx="6">
                  <c:v>3</c:v>
                </c:pt>
                <c:pt idx="7">
                  <c:v>7</c:v>
                </c:pt>
              </c:numCache>
            </c:numRef>
          </c:val>
          <c:extLst>
            <c:ext xmlns:c16="http://schemas.microsoft.com/office/drawing/2014/chart" uri="{C3380CC4-5D6E-409C-BE32-E72D297353CC}">
              <c16:uniqueId val="{00000003-E7BB-46C0-AB73-C319B26381A1}"/>
            </c:ext>
          </c:extLst>
        </c:ser>
        <c:ser>
          <c:idx val="4"/>
          <c:order val="4"/>
          <c:tx>
            <c:strRef>
              <c:f>'IGP ultrag tortur'!$B$8</c:f>
              <c:strCache>
                <c:ptCount val="1"/>
                <c:pt idx="0">
                  <c:v>Maltratări IGC</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'IGP ultrag tortur'!$D$3:$K$3</c:f>
              <c:numCache>
                <c:formatCode>General</c:formatCode>
                <c:ptCount val="8"/>
                <c:pt idx="0">
                  <c:v>2017</c:v>
                </c:pt>
                <c:pt idx="1">
                  <c:v>2018</c:v>
                </c:pt>
                <c:pt idx="2">
                  <c:v>2019</c:v>
                </c:pt>
                <c:pt idx="3">
                  <c:v>2020</c:v>
                </c:pt>
                <c:pt idx="4">
                  <c:v>2021</c:v>
                </c:pt>
                <c:pt idx="5">
                  <c:v>2022</c:v>
                </c:pt>
                <c:pt idx="6">
                  <c:v>2023</c:v>
                </c:pt>
                <c:pt idx="7">
                  <c:v>2024</c:v>
                </c:pt>
              </c:numCache>
            </c:numRef>
          </c:cat>
          <c:val>
            <c:numRef>
              <c:f>'IGP ultrag tortur'!$D$8:$K$8</c:f>
              <c:numCache>
                <c:formatCode>General</c:formatCode>
                <c:ptCount val="8"/>
                <c:pt idx="4">
                  <c:v>0</c:v>
                </c:pt>
                <c:pt idx="5">
                  <c:v>1</c:v>
                </c:pt>
                <c:pt idx="6">
                  <c:v>1</c:v>
                </c:pt>
                <c:pt idx="7">
                  <c:v>3</c:v>
                </c:pt>
              </c:numCache>
            </c:numRef>
          </c:val>
          <c:extLst>
            <c:ext xmlns:c16="http://schemas.microsoft.com/office/drawing/2014/chart" uri="{C3380CC4-5D6E-409C-BE32-E72D297353CC}">
              <c16:uniqueId val="{00000004-E7BB-46C0-AB73-C319B26381A1}"/>
            </c:ext>
          </c:extLst>
        </c:ser>
        <c:dLbls>
          <c:showLegendKey val="0"/>
          <c:showVal val="1"/>
          <c:showCatName val="0"/>
          <c:showSerName val="0"/>
          <c:showPercent val="0"/>
          <c:showBubbleSize val="0"/>
        </c:dLbls>
        <c:gapWidth val="150"/>
        <c:overlap val="-25"/>
        <c:axId val="95203328"/>
        <c:axId val="95204864"/>
      </c:barChart>
      <c:catAx>
        <c:axId val="95203328"/>
        <c:scaling>
          <c:orientation val="minMax"/>
        </c:scaling>
        <c:delete val="0"/>
        <c:axPos val="b"/>
        <c:numFmt formatCode="General" sourceLinked="1"/>
        <c:majorTickMark val="none"/>
        <c:minorTickMark val="none"/>
        <c:tickLblPos val="nextTo"/>
        <c:crossAx val="95204864"/>
        <c:crosses val="autoZero"/>
        <c:auto val="1"/>
        <c:lblAlgn val="ctr"/>
        <c:lblOffset val="100"/>
        <c:noMultiLvlLbl val="0"/>
      </c:catAx>
      <c:valAx>
        <c:axId val="95204864"/>
        <c:scaling>
          <c:orientation val="minMax"/>
        </c:scaling>
        <c:delete val="1"/>
        <c:axPos val="l"/>
        <c:numFmt formatCode="General" sourceLinked="1"/>
        <c:majorTickMark val="out"/>
        <c:minorTickMark val="none"/>
        <c:tickLblPos val="none"/>
        <c:crossAx val="95203328"/>
        <c:crosses val="autoZero"/>
        <c:crossBetween val="between"/>
      </c:valAx>
    </c:plotArea>
    <c:legend>
      <c:legendPos val="b"/>
      <c:overlay val="0"/>
    </c:legend>
    <c:plotVisOnly val="1"/>
    <c:dispBlanksAs val="gap"/>
    <c:showDLblsOverMax val="0"/>
  </c:chart>
  <c:spPr>
    <a:ln>
      <a:noFill/>
    </a:ln>
  </c:spPr>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'BOP 2024'!$B$19</c:f>
              <c:strCache>
                <c:ptCount val="1"/>
                <c:pt idx="0">
                  <c:v>În siguranță deplină</c:v>
                </c:pt>
              </c:strCache>
            </c:strRef>
          </c:tx>
          <c:spPr>
            <a:solidFill>
              <a:schemeClr val="accent5">
                <a:lumMod val="5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2024'!$C$19:$F$19</c:f>
              <c:numCache>
                <c:formatCode>0.0%</c:formatCode>
                <c:ptCount val="4"/>
                <c:pt idx="0">
                  <c:v>0.33200000000000002</c:v>
                </c:pt>
                <c:pt idx="1">
                  <c:v>0.503</c:v>
                </c:pt>
                <c:pt idx="2">
                  <c:v>0.497</c:v>
                </c:pt>
                <c:pt idx="3">
                  <c:v>0.61</c:v>
                </c:pt>
              </c:numCache>
            </c:numRef>
          </c:val>
          <c:extLst>
            <c:ext xmlns:c16="http://schemas.microsoft.com/office/drawing/2014/chart" uri="{C3380CC4-5D6E-409C-BE32-E72D297353CC}">
              <c16:uniqueId val="{00000000-6753-4EE3-B8E4-9DB8A009FAC1}"/>
            </c:ext>
          </c:extLst>
        </c:ser>
        <c:ser>
          <c:idx val="1"/>
          <c:order val="1"/>
          <c:tx>
            <c:strRef>
              <c:f>'BOP 2024'!$B$20</c:f>
              <c:strCache>
                <c:ptCount val="1"/>
                <c:pt idx="0">
                  <c:v>Mai degrabă în siguranță</c:v>
                </c:pt>
              </c:strCache>
            </c:strRef>
          </c:tx>
          <c:spPr>
            <a:solidFill>
              <a:schemeClr val="accent5">
                <a:lumMod val="75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2024'!$C$20:$F$20</c:f>
              <c:numCache>
                <c:formatCode>0.0%</c:formatCode>
                <c:ptCount val="4"/>
                <c:pt idx="0">
                  <c:v>0.32400000000000001</c:v>
                </c:pt>
                <c:pt idx="1">
                  <c:v>0.34699999999999998</c:v>
                </c:pt>
                <c:pt idx="2">
                  <c:v>0.39100000000000001</c:v>
                </c:pt>
                <c:pt idx="3">
                  <c:v>0.32400000000000001</c:v>
                </c:pt>
              </c:numCache>
            </c:numRef>
          </c:val>
          <c:extLst>
            <c:ext xmlns:c16="http://schemas.microsoft.com/office/drawing/2014/chart" uri="{C3380CC4-5D6E-409C-BE32-E72D297353CC}">
              <c16:uniqueId val="{00000001-6753-4EE3-B8E4-9DB8A009FAC1}"/>
            </c:ext>
          </c:extLst>
        </c:ser>
        <c:ser>
          <c:idx val="2"/>
          <c:order val="2"/>
          <c:tx>
            <c:strRef>
              <c:f>'BOP 2024'!$B$21</c:f>
              <c:strCache>
                <c:ptCount val="1"/>
                <c:pt idx="0">
                  <c:v>Mai degrabă nu în siguranță</c:v>
                </c:pt>
              </c:strCache>
            </c:strRef>
          </c:tx>
          <c:spPr>
            <a:solidFill>
              <a:schemeClr val="accent5">
                <a:lumMod val="40000"/>
                <a:lumOff val="6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2024'!$C$21:$F$21</c:f>
              <c:numCache>
                <c:formatCode>0.0%</c:formatCode>
                <c:ptCount val="4"/>
                <c:pt idx="0">
                  <c:v>0.20799999999999999</c:v>
                </c:pt>
                <c:pt idx="1">
                  <c:v>0.114</c:v>
                </c:pt>
                <c:pt idx="2">
                  <c:v>8.6999999999999994E-2</c:v>
                </c:pt>
                <c:pt idx="3">
                  <c:v>4.9000000000000002E-2</c:v>
                </c:pt>
              </c:numCache>
            </c:numRef>
          </c:val>
          <c:extLst>
            <c:ext xmlns:c16="http://schemas.microsoft.com/office/drawing/2014/chart" uri="{C3380CC4-5D6E-409C-BE32-E72D297353CC}">
              <c16:uniqueId val="{00000002-6753-4EE3-B8E4-9DB8A009FAC1}"/>
            </c:ext>
          </c:extLst>
        </c:ser>
        <c:ser>
          <c:idx val="3"/>
          <c:order val="3"/>
          <c:tx>
            <c:strRef>
              <c:f>'BOP 2024'!$B$22</c:f>
              <c:strCache>
                <c:ptCount val="1"/>
                <c:pt idx="0">
                  <c:v>Deloc nu mă simt în siguranță</c:v>
                </c:pt>
              </c:strCache>
            </c:strRef>
          </c:tx>
          <c:spPr>
            <a:solidFill>
              <a:schemeClr val="accent5">
                <a:lumMod val="20000"/>
                <a:lumOff val="80000"/>
              </a:schemeClr>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2024'!$C$18:$F$18</c:f>
              <c:strCache>
                <c:ptCount val="4"/>
                <c:pt idx="0">
                  <c:v>Noaptea, pe stradă</c:v>
                </c:pt>
                <c:pt idx="1">
                  <c:v>Noaptea, acasă</c:v>
                </c:pt>
                <c:pt idx="2">
                  <c:v>Ziua, pe stradă</c:v>
                </c:pt>
                <c:pt idx="3">
                  <c:v>Ziua, acasă</c:v>
                </c:pt>
              </c:strCache>
            </c:strRef>
          </c:cat>
          <c:val>
            <c:numRef>
              <c:f>'BOP 2024'!$C$22:$F$22</c:f>
              <c:numCache>
                <c:formatCode>0.0%</c:formatCode>
                <c:ptCount val="4"/>
                <c:pt idx="0">
                  <c:v>8.7999999999999995E-2</c:v>
                </c:pt>
                <c:pt idx="1">
                  <c:v>0.03</c:v>
                </c:pt>
                <c:pt idx="2">
                  <c:v>1.7999999999999999E-2</c:v>
                </c:pt>
                <c:pt idx="3">
                  <c:v>1.2999999999999999E-2</c:v>
                </c:pt>
              </c:numCache>
            </c:numRef>
          </c:val>
          <c:extLst>
            <c:ext xmlns:c16="http://schemas.microsoft.com/office/drawing/2014/chart" uri="{C3380CC4-5D6E-409C-BE32-E72D297353CC}">
              <c16:uniqueId val="{00000003-6753-4EE3-B8E4-9DB8A009FAC1}"/>
            </c:ext>
          </c:extLst>
        </c:ser>
        <c:dLbls>
          <c:showLegendKey val="0"/>
          <c:showVal val="0"/>
          <c:showCatName val="0"/>
          <c:showSerName val="0"/>
          <c:showPercent val="0"/>
          <c:showBubbleSize val="0"/>
        </c:dLbls>
        <c:gapWidth val="25"/>
        <c:overlap val="100"/>
        <c:axId val="1703587648"/>
        <c:axId val="1703576416"/>
        <c:extLst>
          <c:ext xmlns:c15="http://schemas.microsoft.com/office/drawing/2012/chart" uri="{02D57815-91ED-43cb-92C2-25804820EDAC}">
            <c15:filteredBarSeries>
              <c15:ser>
                <c:idx val="4"/>
                <c:order val="4"/>
                <c:tx>
                  <c:strRef>
                    <c:extLst>
                      <c:ext uri="{02D57815-91ED-43cb-92C2-25804820EDAC}">
                        <c15:formulaRef>
                          <c15:sqref>'BOP 2024'!$B$23</c15:sqref>
                        </c15:formulaRef>
                      </c:ext>
                    </c:extLst>
                    <c:strCache>
                      <c:ptCount val="1"/>
                      <c:pt idx="0">
                        <c:v>Nu știu / Nu răspund</c:v>
                      </c:pt>
                    </c:strCache>
                  </c:strRef>
                </c:tx>
                <c:spPr>
                  <a:solidFill>
                    <a:schemeClr val="accent5"/>
                  </a:solidFill>
                  <a:ln>
                    <a:noFill/>
                  </a:ln>
                  <a:effectLst/>
                </c:spPr>
                <c:invertIfNegative val="0"/>
                <c:cat>
                  <c:strRef>
                    <c:extLst>
                      <c:ext uri="{02D57815-91ED-43cb-92C2-25804820EDAC}">
                        <c15:formulaRef>
                          <c15:sqref>'BOP 2024'!$C$18:$F$18</c15:sqref>
                        </c15:formulaRef>
                      </c:ext>
                    </c:extLst>
                    <c:strCache>
                      <c:ptCount val="4"/>
                      <c:pt idx="0">
                        <c:v>Noaptea, pe stradă</c:v>
                      </c:pt>
                      <c:pt idx="1">
                        <c:v>Noaptea, acasă</c:v>
                      </c:pt>
                      <c:pt idx="2">
                        <c:v>Ziua, pe stradă</c:v>
                      </c:pt>
                      <c:pt idx="3">
                        <c:v>Ziua, acasă</c:v>
                      </c:pt>
                    </c:strCache>
                  </c:strRef>
                </c:cat>
                <c:val>
                  <c:numRef>
                    <c:extLst>
                      <c:ext uri="{02D57815-91ED-43cb-92C2-25804820EDAC}">
                        <c15:formulaRef>
                          <c15:sqref>'BOP 2024'!$C$23:$F$23</c15:sqref>
                        </c15:formulaRef>
                      </c:ext>
                    </c:extLst>
                    <c:numCache>
                      <c:formatCode>General</c:formatCode>
                      <c:ptCount val="4"/>
                    </c:numCache>
                  </c:numRef>
                </c:val>
                <c:extLst>
                  <c:ext xmlns:c16="http://schemas.microsoft.com/office/drawing/2014/chart" uri="{C3380CC4-5D6E-409C-BE32-E72D297353CC}">
                    <c16:uniqueId val="{00000004-6753-4EE3-B8E4-9DB8A009FAC1}"/>
                  </c:ext>
                </c:extLst>
              </c15:ser>
            </c15:filteredBarSeries>
          </c:ext>
        </c:extLst>
      </c:barChart>
      <c:catAx>
        <c:axId val="1703587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76416"/>
        <c:crosses val="autoZero"/>
        <c:auto val="1"/>
        <c:lblAlgn val="ctr"/>
        <c:lblOffset val="100"/>
        <c:noMultiLvlLbl val="0"/>
      </c:catAx>
      <c:valAx>
        <c:axId val="1703576416"/>
        <c:scaling>
          <c:orientation val="minMax"/>
        </c:scaling>
        <c:delete val="1"/>
        <c:axPos val="b"/>
        <c:numFmt formatCode="0%" sourceLinked="1"/>
        <c:majorTickMark val="none"/>
        <c:minorTickMark val="none"/>
        <c:tickLblPos val="nextTo"/>
        <c:crossAx val="1703587648"/>
        <c:crossesAt val="1"/>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3"/>
          <c:order val="0"/>
          <c:tx>
            <c:strRef>
              <c:f>Evenimente!$C$6</c:f>
              <c:strCache>
                <c:ptCount val="1"/>
                <c:pt idx="0">
                  <c:v>Cu caracter social-politic</c:v>
                </c:pt>
              </c:strCache>
            </c:strRef>
          </c:tx>
          <c:spPr>
            <a:solidFill>
              <a:schemeClr val="accent5">
                <a:lumMod val="60000"/>
                <a:lumOff val="40000"/>
              </a:schemeClr>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Evenimente!$D$6:$G$6</c:f>
              <c:numCache>
                <c:formatCode>General</c:formatCode>
                <c:ptCount val="4"/>
                <c:pt idx="0">
                  <c:v>6647</c:v>
                </c:pt>
                <c:pt idx="1">
                  <c:v>6270</c:v>
                </c:pt>
                <c:pt idx="2">
                  <c:v>12099</c:v>
                </c:pt>
                <c:pt idx="3">
                  <c:v>9966</c:v>
                </c:pt>
              </c:numCache>
            </c:numRef>
          </c:val>
          <c:extLst>
            <c:ext xmlns:c16="http://schemas.microsoft.com/office/drawing/2014/chart" uri="{C3380CC4-5D6E-409C-BE32-E72D297353CC}">
              <c16:uniqueId val="{00000000-9CA7-40F6-8767-A5D6F259D161}"/>
            </c:ext>
          </c:extLst>
        </c:ser>
        <c:ser>
          <c:idx val="2"/>
          <c:order val="1"/>
          <c:tx>
            <c:strRef>
              <c:f>Evenimente!$C$5</c:f>
              <c:strCache>
                <c:ptCount val="1"/>
                <c:pt idx="0">
                  <c:v>Acțiuni cultural-artistice</c:v>
                </c:pt>
              </c:strCache>
            </c:strRef>
          </c:tx>
          <c:spPr>
            <a:solidFill>
              <a:schemeClr val="accent2"/>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Evenimente!$D$5:$G$5</c:f>
              <c:numCache>
                <c:formatCode>General</c:formatCode>
                <c:ptCount val="4"/>
                <c:pt idx="0">
                  <c:v>1378</c:v>
                </c:pt>
                <c:pt idx="1">
                  <c:v>3304</c:v>
                </c:pt>
                <c:pt idx="2">
                  <c:v>3974</c:v>
                </c:pt>
                <c:pt idx="3">
                  <c:v>3543</c:v>
                </c:pt>
              </c:numCache>
            </c:numRef>
          </c:val>
          <c:extLst>
            <c:ext xmlns:c16="http://schemas.microsoft.com/office/drawing/2014/chart" uri="{C3380CC4-5D6E-409C-BE32-E72D297353CC}">
              <c16:uniqueId val="{00000001-9CA7-40F6-8767-A5D6F259D161}"/>
            </c:ext>
          </c:extLst>
        </c:ser>
        <c:ser>
          <c:idx val="1"/>
          <c:order val="2"/>
          <c:tx>
            <c:strRef>
              <c:f>Evenimente!$C$4</c:f>
              <c:strCache>
                <c:ptCount val="1"/>
                <c:pt idx="0">
                  <c:v>Cu caracter sportiv</c:v>
                </c:pt>
              </c:strCache>
            </c:strRef>
          </c:tx>
          <c:spPr>
            <a:solidFill>
              <a:srgbClr val="002060"/>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Evenimente!$D$4:$G$4</c:f>
              <c:numCache>
                <c:formatCode>General</c:formatCode>
                <c:ptCount val="4"/>
                <c:pt idx="0">
                  <c:v>767</c:v>
                </c:pt>
                <c:pt idx="1">
                  <c:v>782</c:v>
                </c:pt>
                <c:pt idx="2">
                  <c:v>812</c:v>
                </c:pt>
                <c:pt idx="3">
                  <c:v>653</c:v>
                </c:pt>
              </c:numCache>
            </c:numRef>
          </c:val>
          <c:extLst>
            <c:ext xmlns:c16="http://schemas.microsoft.com/office/drawing/2014/chart" uri="{C3380CC4-5D6E-409C-BE32-E72D297353CC}">
              <c16:uniqueId val="{00000002-9CA7-40F6-8767-A5D6F259D161}"/>
            </c:ext>
          </c:extLst>
        </c:ser>
        <c:ser>
          <c:idx val="0"/>
          <c:order val="3"/>
          <c:tx>
            <c:strRef>
              <c:f>Evenimente!$C$3</c:f>
              <c:strCache>
                <c:ptCount val="1"/>
                <c:pt idx="0">
                  <c:v>Cu caracter religios</c:v>
                </c:pt>
              </c:strCache>
            </c:strRef>
          </c:tx>
          <c:spPr>
            <a:solidFill>
              <a:schemeClr val="accent3"/>
            </a:solidFill>
            <a:ln>
              <a:noFill/>
            </a:ln>
            <a:effectLst/>
          </c:spPr>
          <c:invertIfNegative val="0"/>
          <c:cat>
            <c:numRef>
              <c:f>Evenimente!$D$2:$G$2</c:f>
              <c:numCache>
                <c:formatCode>General</c:formatCode>
                <c:ptCount val="4"/>
                <c:pt idx="0">
                  <c:v>2021</c:v>
                </c:pt>
                <c:pt idx="1">
                  <c:v>2022</c:v>
                </c:pt>
                <c:pt idx="2">
                  <c:v>2023</c:v>
                </c:pt>
                <c:pt idx="3">
                  <c:v>2024</c:v>
                </c:pt>
              </c:numCache>
            </c:numRef>
          </c:cat>
          <c:val>
            <c:numRef>
              <c:f>Evenimente!$D$3:$G$3</c:f>
              <c:numCache>
                <c:formatCode>General</c:formatCode>
                <c:ptCount val="4"/>
                <c:pt idx="0">
                  <c:v>4473</c:v>
                </c:pt>
                <c:pt idx="1">
                  <c:v>4554</c:v>
                </c:pt>
                <c:pt idx="2">
                  <c:v>5441</c:v>
                </c:pt>
                <c:pt idx="3">
                  <c:v>4359</c:v>
                </c:pt>
              </c:numCache>
            </c:numRef>
          </c:val>
          <c:extLst>
            <c:ext xmlns:c16="http://schemas.microsoft.com/office/drawing/2014/chart" uri="{C3380CC4-5D6E-409C-BE32-E72D297353CC}">
              <c16:uniqueId val="{00000003-9CA7-40F6-8767-A5D6F259D161}"/>
            </c:ext>
          </c:extLst>
        </c:ser>
        <c:dLbls>
          <c:showLegendKey val="0"/>
          <c:showVal val="0"/>
          <c:showCatName val="0"/>
          <c:showSerName val="0"/>
          <c:showPercent val="0"/>
          <c:showBubbleSize val="0"/>
        </c:dLbls>
        <c:gapWidth val="150"/>
        <c:overlap val="100"/>
        <c:axId val="374213776"/>
        <c:axId val="374209616"/>
      </c:barChart>
      <c:catAx>
        <c:axId val="37421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209616"/>
        <c:crosses val="autoZero"/>
        <c:auto val="1"/>
        <c:lblAlgn val="ctr"/>
        <c:lblOffset val="100"/>
        <c:noMultiLvlLbl val="0"/>
      </c:catAx>
      <c:valAx>
        <c:axId val="37420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213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026550730535701E-2"/>
          <c:y val="0.12682737026292765"/>
          <c:w val="0.392632023904257"/>
          <c:h val="0.74634525947414465"/>
        </c:manualLayout>
      </c:layout>
      <c:pieChart>
        <c:varyColors val="1"/>
        <c:ser>
          <c:idx val="0"/>
          <c:order val="0"/>
          <c:dPt>
            <c:idx val="0"/>
            <c:bubble3D val="0"/>
            <c:spPr>
              <a:solidFill>
                <a:schemeClr val="accent5">
                  <a:lumMod val="60000"/>
                  <a:lumOff val="40000"/>
                </a:schemeClr>
              </a:solidFill>
              <a:ln w="19050">
                <a:solidFill>
                  <a:schemeClr val="lt1"/>
                </a:solidFill>
              </a:ln>
              <a:effectLst/>
            </c:spPr>
            <c:extLst>
              <c:ext xmlns:c16="http://schemas.microsoft.com/office/drawing/2014/chart" uri="{C3380CC4-5D6E-409C-BE32-E72D297353CC}">
                <c16:uniqueId val="{00000001-F6B3-4B00-8767-5A29219072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B3-4B00-8767-5A29219072BE}"/>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F6B3-4B00-8767-5A29219072BE}"/>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F6B3-4B00-8767-5A29219072B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'[2025 Date OSP.xlsx]Evenimente'!$K$27,'[2025 Date OSP.xlsx]Evenimente'!$K$31,'[2025 Date OSP.xlsx]Evenimente'!$K$32,'[2025 Date OSP.xlsx]Evenimente'!$K$33</c:f>
              <c:strCache>
                <c:ptCount val="4"/>
                <c:pt idx="0">
                  <c:v>Cu caracter social-politic</c:v>
                </c:pt>
                <c:pt idx="1">
                  <c:v>Acțiuni cultural-artistice</c:v>
                </c:pt>
                <c:pt idx="2">
                  <c:v>Cu caracter sportiv</c:v>
                </c:pt>
                <c:pt idx="3">
                  <c:v>Cu caracter religios</c:v>
                </c:pt>
              </c:strCache>
            </c:strRef>
          </c:cat>
          <c:val>
            <c:numRef>
              <c:f>'[2025 Date OSP.xlsx]Evenimente'!$P$27,'[2025 Date OSP.xlsx]Evenimente'!$P$31,'[2025 Date OSP.xlsx]Evenimente'!$P$32,'[2025 Date OSP.xlsx]Evenimente'!$P$33</c:f>
              <c:numCache>
                <c:formatCode>General</c:formatCode>
                <c:ptCount val="4"/>
                <c:pt idx="0">
                  <c:v>9966</c:v>
                </c:pt>
                <c:pt idx="1">
                  <c:v>3543</c:v>
                </c:pt>
                <c:pt idx="2">
                  <c:v>653</c:v>
                </c:pt>
                <c:pt idx="3">
                  <c:v>4359</c:v>
                </c:pt>
              </c:numCache>
            </c:numRef>
          </c:val>
          <c:extLst>
            <c:ext xmlns:c16="http://schemas.microsoft.com/office/drawing/2014/chart" uri="{C3380CC4-5D6E-409C-BE32-E72D297353CC}">
              <c16:uniqueId val="{00000008-F6B3-4B00-8767-5A29219072BE}"/>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2514997692662668"/>
          <c:y val="0.1754358336786849"/>
          <c:w val="0.43704730232194461"/>
          <c:h val="0.64912833264263015"/>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Ziua,</a:t>
            </a:r>
            <a:r>
              <a:rPr lang="ro-RO" sz="1050" b="1" baseline="0">
                <a:solidFill>
                  <a:sysClr val="windowText" lastClr="000000"/>
                </a:solidFill>
              </a:rPr>
              <a:t> acasă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2024'!$C$70:$C$73</c:f>
              <c:numCache>
                <c:formatCode>0.0%</c:formatCode>
                <c:ptCount val="4"/>
                <c:pt idx="0">
                  <c:v>0.61</c:v>
                </c:pt>
                <c:pt idx="1">
                  <c:v>0.32400000000000001</c:v>
                </c:pt>
                <c:pt idx="2">
                  <c:v>4.9000000000000002E-2</c:v>
                </c:pt>
                <c:pt idx="3">
                  <c:v>1.2999999999999999E-2</c:v>
                </c:pt>
              </c:numCache>
            </c:numRef>
          </c:val>
          <c:extLst>
            <c:ext xmlns:c16="http://schemas.microsoft.com/office/drawing/2014/chart" uri="{C3380CC4-5D6E-409C-BE32-E72D297353CC}">
              <c16:uniqueId val="{00000000-73F6-4BC1-9954-3738D78264D7}"/>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2024'!$D$70:$D$73</c:f>
              <c:numCache>
                <c:formatCode>0.0%</c:formatCode>
                <c:ptCount val="4"/>
                <c:pt idx="0">
                  <c:v>0.64600000000000002</c:v>
                </c:pt>
                <c:pt idx="1">
                  <c:v>0.28799999999999998</c:v>
                </c:pt>
                <c:pt idx="2">
                  <c:v>4.2999999999999997E-2</c:v>
                </c:pt>
                <c:pt idx="3">
                  <c:v>1.7999999999999999E-2</c:v>
                </c:pt>
              </c:numCache>
            </c:numRef>
          </c:val>
          <c:extLst>
            <c:ext xmlns:c16="http://schemas.microsoft.com/office/drawing/2014/chart" uri="{C3380CC4-5D6E-409C-BE32-E72D297353CC}">
              <c16:uniqueId val="{00000001-73F6-4BC1-9954-3738D78264D7}"/>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2024'!$E$70:$E$73</c:f>
              <c:numCache>
                <c:formatCode>0.0%</c:formatCode>
                <c:ptCount val="4"/>
                <c:pt idx="0">
                  <c:v>0.52</c:v>
                </c:pt>
                <c:pt idx="1">
                  <c:v>0.374</c:v>
                </c:pt>
                <c:pt idx="2">
                  <c:v>7.4999999999999997E-2</c:v>
                </c:pt>
                <c:pt idx="3">
                  <c:v>2.9000000000000001E-2</c:v>
                </c:pt>
              </c:numCache>
            </c:numRef>
          </c:val>
          <c:extLst>
            <c:ext xmlns:c16="http://schemas.microsoft.com/office/drawing/2014/chart" uri="{C3380CC4-5D6E-409C-BE32-E72D297353CC}">
              <c16:uniqueId val="{00000002-73F6-4BC1-9954-3738D78264D7}"/>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Noaptea, acasă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2024'!$C$83:$C$86</c:f>
              <c:numCache>
                <c:formatCode>0.0%</c:formatCode>
                <c:ptCount val="4"/>
                <c:pt idx="0">
                  <c:v>0.503</c:v>
                </c:pt>
                <c:pt idx="1">
                  <c:v>0.34699999999999998</c:v>
                </c:pt>
                <c:pt idx="2">
                  <c:v>0.114</c:v>
                </c:pt>
                <c:pt idx="3">
                  <c:v>0.03</c:v>
                </c:pt>
              </c:numCache>
            </c:numRef>
          </c:val>
          <c:extLst>
            <c:ext xmlns:c16="http://schemas.microsoft.com/office/drawing/2014/chart" uri="{C3380CC4-5D6E-409C-BE32-E72D297353CC}">
              <c16:uniqueId val="{00000000-DFF4-458E-98C5-4D9B1F122765}"/>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2024'!$D$83:$D$86</c:f>
              <c:numCache>
                <c:formatCode>0.0%</c:formatCode>
                <c:ptCount val="4"/>
                <c:pt idx="0">
                  <c:v>0.53</c:v>
                </c:pt>
                <c:pt idx="1">
                  <c:v>0.32700000000000001</c:v>
                </c:pt>
                <c:pt idx="2">
                  <c:v>0.10199999999999999</c:v>
                </c:pt>
                <c:pt idx="3">
                  <c:v>3.5999999999999997E-2</c:v>
                </c:pt>
              </c:numCache>
            </c:numRef>
          </c:val>
          <c:extLst>
            <c:ext xmlns:c16="http://schemas.microsoft.com/office/drawing/2014/chart" uri="{C3380CC4-5D6E-409C-BE32-E72D297353CC}">
              <c16:uniqueId val="{00000001-DFF4-458E-98C5-4D9B1F122765}"/>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2024'!$E$83:$E$86</c:f>
              <c:numCache>
                <c:formatCode>0.0%</c:formatCode>
                <c:ptCount val="4"/>
                <c:pt idx="0">
                  <c:v>0.38700000000000001</c:v>
                </c:pt>
                <c:pt idx="1">
                  <c:v>0.41699999999999998</c:v>
                </c:pt>
                <c:pt idx="2">
                  <c:v>0.13900000000000001</c:v>
                </c:pt>
                <c:pt idx="3">
                  <c:v>5.2999999999999999E-2</c:v>
                </c:pt>
              </c:numCache>
            </c:numRef>
          </c:val>
          <c:extLst>
            <c:ext xmlns:c16="http://schemas.microsoft.com/office/drawing/2014/chart" uri="{C3380CC4-5D6E-409C-BE32-E72D297353CC}">
              <c16:uniqueId val="{00000002-DFF4-458E-98C5-4D9B1F122765}"/>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Ziua,</a:t>
            </a:r>
            <a:r>
              <a:rPr lang="ro-RO" sz="1050" b="1" baseline="0">
                <a:solidFill>
                  <a:sysClr val="windowText" lastClr="000000"/>
                </a:solidFill>
              </a:rPr>
              <a:t> în stradă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2024'!$C$59:$C$62</c:f>
              <c:numCache>
                <c:formatCode>0.0%</c:formatCode>
                <c:ptCount val="4"/>
                <c:pt idx="0">
                  <c:v>0.497</c:v>
                </c:pt>
                <c:pt idx="1">
                  <c:v>0.39100000000000001</c:v>
                </c:pt>
                <c:pt idx="2">
                  <c:v>8.6999999999999994E-2</c:v>
                </c:pt>
                <c:pt idx="3">
                  <c:v>1.7999999999999999E-2</c:v>
                </c:pt>
              </c:numCache>
            </c:numRef>
          </c:val>
          <c:extLst>
            <c:ext xmlns:c16="http://schemas.microsoft.com/office/drawing/2014/chart" uri="{C3380CC4-5D6E-409C-BE32-E72D297353CC}">
              <c16:uniqueId val="{00000000-0925-4EC0-8E6C-377432E63882}"/>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2024'!$D$59:$D$62</c:f>
              <c:numCache>
                <c:formatCode>0.0%</c:formatCode>
                <c:ptCount val="4"/>
                <c:pt idx="0">
                  <c:v>0.53800000000000003</c:v>
                </c:pt>
                <c:pt idx="1">
                  <c:v>0.35099999999999998</c:v>
                </c:pt>
                <c:pt idx="2">
                  <c:v>8.1000000000000003E-2</c:v>
                </c:pt>
                <c:pt idx="3">
                  <c:v>2.1999999999999999E-2</c:v>
                </c:pt>
              </c:numCache>
            </c:numRef>
          </c:val>
          <c:extLst>
            <c:ext xmlns:c16="http://schemas.microsoft.com/office/drawing/2014/chart" uri="{C3380CC4-5D6E-409C-BE32-E72D297353CC}">
              <c16:uniqueId val="{00000001-0925-4EC0-8E6C-377432E63882}"/>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2024'!$E$59:$E$62</c:f>
              <c:numCache>
                <c:formatCode>0.0%</c:formatCode>
                <c:ptCount val="4"/>
                <c:pt idx="0">
                  <c:v>0.42</c:v>
                </c:pt>
                <c:pt idx="1">
                  <c:v>0.437</c:v>
                </c:pt>
                <c:pt idx="2">
                  <c:v>0.109</c:v>
                </c:pt>
                <c:pt idx="3">
                  <c:v>2.8000000000000001E-2</c:v>
                </c:pt>
              </c:numCache>
            </c:numRef>
          </c:val>
          <c:extLst>
            <c:ext xmlns:c16="http://schemas.microsoft.com/office/drawing/2014/chart" uri="{C3380CC4-5D6E-409C-BE32-E72D297353CC}">
              <c16:uniqueId val="{00000002-0925-4EC0-8E6C-377432E63882}"/>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Noaptea, în stradă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tx>
            <c:strRef>
              <c:f>'BOP 2024'!$C$58</c:f>
              <c:strCache>
                <c:ptCount val="1"/>
                <c:pt idx="0">
                  <c:v>2025</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2024'!$C$99:$C$102</c:f>
              <c:numCache>
                <c:formatCode>0.0%</c:formatCode>
                <c:ptCount val="4"/>
                <c:pt idx="0">
                  <c:v>0.33200000000000002</c:v>
                </c:pt>
                <c:pt idx="1">
                  <c:v>0.32400000000000001</c:v>
                </c:pt>
                <c:pt idx="2">
                  <c:v>0.20799999999999999</c:v>
                </c:pt>
                <c:pt idx="3">
                  <c:v>8.7999999999999995E-2</c:v>
                </c:pt>
              </c:numCache>
            </c:numRef>
          </c:val>
          <c:extLst>
            <c:ext xmlns:c16="http://schemas.microsoft.com/office/drawing/2014/chart" uri="{C3380CC4-5D6E-409C-BE32-E72D297353CC}">
              <c16:uniqueId val="{00000000-C018-4230-8133-ACEC83D229BA}"/>
            </c:ext>
          </c:extLst>
        </c:ser>
        <c:ser>
          <c:idx val="1"/>
          <c:order val="1"/>
          <c:tx>
            <c:strRef>
              <c:f>'BOP 2024'!$D$58</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2024'!$D$99:$D$102</c:f>
              <c:numCache>
                <c:formatCode>0.0%</c:formatCode>
                <c:ptCount val="4"/>
                <c:pt idx="0">
                  <c:v>0.34599999999999997</c:v>
                </c:pt>
                <c:pt idx="1">
                  <c:v>0.29499999999999998</c:v>
                </c:pt>
                <c:pt idx="2">
                  <c:v>0.221</c:v>
                </c:pt>
                <c:pt idx="3">
                  <c:v>8.5999999999999993E-2</c:v>
                </c:pt>
              </c:numCache>
            </c:numRef>
          </c:val>
          <c:extLst>
            <c:ext xmlns:c16="http://schemas.microsoft.com/office/drawing/2014/chart" uri="{C3380CC4-5D6E-409C-BE32-E72D297353CC}">
              <c16:uniqueId val="{00000001-C018-4230-8133-ACEC83D229BA}"/>
            </c:ext>
          </c:extLst>
        </c:ser>
        <c:ser>
          <c:idx val="2"/>
          <c:order val="2"/>
          <c:tx>
            <c:strRef>
              <c:f>'BOP 2024'!$E$58</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2024'!$E$99:$E$102</c:f>
              <c:numCache>
                <c:formatCode>0.0%</c:formatCode>
                <c:ptCount val="4"/>
                <c:pt idx="0">
                  <c:v>0.26500000000000001</c:v>
                </c:pt>
                <c:pt idx="1">
                  <c:v>0.36199999999999999</c:v>
                </c:pt>
                <c:pt idx="2">
                  <c:v>0.19400000000000001</c:v>
                </c:pt>
                <c:pt idx="3">
                  <c:v>0.157</c:v>
                </c:pt>
              </c:numCache>
            </c:numRef>
          </c:val>
          <c:extLst>
            <c:ext xmlns:c16="http://schemas.microsoft.com/office/drawing/2014/chart" uri="{C3380CC4-5D6E-409C-BE32-E72D297353CC}">
              <c16:uniqueId val="{00000002-C018-4230-8133-ACEC83D229BA}"/>
            </c:ext>
          </c:extLst>
        </c:ser>
        <c:dLbls>
          <c:showLegendKey val="0"/>
          <c:showVal val="0"/>
          <c:showCatName val="0"/>
          <c:showSerName val="0"/>
          <c:showPercent val="0"/>
          <c:showBubbleSize val="0"/>
        </c:dLbls>
        <c:gapWidth val="30"/>
        <c:axId val="1703578496"/>
        <c:axId val="1703585568"/>
      </c:barChart>
      <c:catAx>
        <c:axId val="17035784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b"/>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ro-RO" sz="1050" b="1">
                <a:solidFill>
                  <a:sysClr val="windowText" lastClr="000000"/>
                </a:solidFill>
              </a:rPr>
              <a:t>Noaptea,</a:t>
            </a:r>
            <a:r>
              <a:rPr lang="ro-RO" sz="1050" b="1" baseline="0">
                <a:solidFill>
                  <a:sysClr val="windowText" lastClr="000000"/>
                </a:solidFill>
              </a:rPr>
              <a:t> în stradă</a:t>
            </a:r>
            <a:endParaRPr lang="en-US" sz="1050" b="1">
              <a:solidFill>
                <a:sysClr val="windowText" lastClr="000000"/>
              </a:solidFill>
            </a:endParaRP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'BOP 2024'!$C$46</c:f>
              <c:strCache>
                <c:ptCount val="1"/>
                <c:pt idx="0">
                  <c:v>Femei</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2024'!$C$47:$C$50</c:f>
              <c:numCache>
                <c:formatCode>0.0%</c:formatCode>
                <c:ptCount val="4"/>
                <c:pt idx="0">
                  <c:v>0.26300000000000001</c:v>
                </c:pt>
                <c:pt idx="1">
                  <c:v>0.28599999999999998</c:v>
                </c:pt>
                <c:pt idx="2">
                  <c:v>0.26400000000000001</c:v>
                </c:pt>
                <c:pt idx="3">
                  <c:v>0.12</c:v>
                </c:pt>
              </c:numCache>
            </c:numRef>
          </c:val>
          <c:extLst>
            <c:ext xmlns:c16="http://schemas.microsoft.com/office/drawing/2014/chart" uri="{C3380CC4-5D6E-409C-BE32-E72D297353CC}">
              <c16:uniqueId val="{00000000-2E6E-4C94-B8CE-ADD7D0D94242}"/>
            </c:ext>
          </c:extLst>
        </c:ser>
        <c:ser>
          <c:idx val="1"/>
          <c:order val="1"/>
          <c:tx>
            <c:strRef>
              <c:f>'BOP 2024'!$D$46</c:f>
              <c:strCache>
                <c:ptCount val="1"/>
                <c:pt idx="0">
                  <c:v>Bărbați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'BOP 2024'!$B$59:$B$62</c:f>
              <c:strCache>
                <c:ptCount val="4"/>
                <c:pt idx="0">
                  <c:v>În siguranță deplină</c:v>
                </c:pt>
                <c:pt idx="1">
                  <c:v>Mai degrabă în siguranță</c:v>
                </c:pt>
                <c:pt idx="2">
                  <c:v>Mai degrabă nu în siguranță</c:v>
                </c:pt>
                <c:pt idx="3">
                  <c:v>Deloc nu mă simt în siguranță</c:v>
                </c:pt>
              </c:strCache>
            </c:strRef>
          </c:cat>
          <c:val>
            <c:numRef>
              <c:f>'BOP 2024'!$D$47:$D$50</c:f>
              <c:numCache>
                <c:formatCode>0.0%</c:formatCode>
                <c:ptCount val="4"/>
                <c:pt idx="0">
                  <c:v>0.40899999999999997</c:v>
                </c:pt>
                <c:pt idx="1">
                  <c:v>0.36699999999999999</c:v>
                </c:pt>
                <c:pt idx="2">
                  <c:v>0.14399999999999999</c:v>
                </c:pt>
                <c:pt idx="3">
                  <c:v>5.2999999999999999E-2</c:v>
                </c:pt>
              </c:numCache>
            </c:numRef>
          </c:val>
          <c:extLst>
            <c:ext xmlns:c16="http://schemas.microsoft.com/office/drawing/2014/chart" uri="{C3380CC4-5D6E-409C-BE32-E72D297353CC}">
              <c16:uniqueId val="{00000001-2E6E-4C94-B8CE-ADD7D0D94242}"/>
            </c:ext>
          </c:extLst>
        </c:ser>
        <c:dLbls>
          <c:showLegendKey val="0"/>
          <c:showVal val="0"/>
          <c:showCatName val="0"/>
          <c:showSerName val="0"/>
          <c:showPercent val="0"/>
          <c:showBubbleSize val="0"/>
        </c:dLbls>
        <c:gapWidth val="219"/>
        <c:overlap val="-27"/>
        <c:axId val="1703578496"/>
        <c:axId val="1703585568"/>
      </c:barChart>
      <c:catAx>
        <c:axId val="170357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703585568"/>
        <c:crosses val="autoZero"/>
        <c:auto val="1"/>
        <c:lblAlgn val="ctr"/>
        <c:lblOffset val="100"/>
        <c:noMultiLvlLbl val="0"/>
      </c:catAx>
      <c:valAx>
        <c:axId val="1703585568"/>
        <c:scaling>
          <c:orientation val="minMax"/>
        </c:scaling>
        <c:delete val="1"/>
        <c:axPos val="l"/>
        <c:numFmt formatCode="0.0%" sourceLinked="1"/>
        <c:majorTickMark val="none"/>
        <c:minorTickMark val="none"/>
        <c:tickLblPos val="nextTo"/>
        <c:crossAx val="170357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900" b="1"/>
              <a:t>mii cazuri</a:t>
            </a:r>
            <a:endParaRPr lang="ro-RO" sz="900" b="1"/>
          </a:p>
        </c:rich>
      </c:tx>
      <c:layout>
        <c:manualLayout>
          <c:xMode val="edge"/>
          <c:yMode val="edge"/>
          <c:x val="5.7856822623540215E-2"/>
          <c:y val="8.4010442843580717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ro-RO"/>
        </a:p>
      </c:txPr>
    </c:title>
    <c:autoTitleDeleted val="0"/>
    <c:plotArea>
      <c:layout>
        <c:manualLayout>
          <c:layoutTarget val="inner"/>
          <c:xMode val="edge"/>
          <c:yMode val="edge"/>
          <c:x val="5.7237376044717958E-2"/>
          <c:y val="7.2892234880214443E-2"/>
          <c:w val="0.88438759148280521"/>
          <c:h val="0.67650499804545705"/>
        </c:manualLayout>
      </c:layout>
      <c:barChart>
        <c:barDir val="col"/>
        <c:grouping val="clustered"/>
        <c:varyColors val="0"/>
        <c:ser>
          <c:idx val="0"/>
          <c:order val="0"/>
          <c:tx>
            <c:strRef>
              <c:f>'[Date comunicat_nivelul_infractionalitatii_2024.xlsx]Figura 1'!$A$17:$B$17</c:f>
              <c:strCache>
                <c:ptCount val="2"/>
                <c:pt idx="0">
                  <c:v>Total infracţiuni înregistrate</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'[Date comunicat_nivelul_infractionalitatii_2024.xlsx]Figura 1'!$C$16:$G$16</c:f>
              <c:numCache>
                <c:formatCode>General</c:formatCode>
                <c:ptCount val="5"/>
                <c:pt idx="0">
                  <c:v>2020</c:v>
                </c:pt>
                <c:pt idx="1">
                  <c:v>2021</c:v>
                </c:pt>
                <c:pt idx="2">
                  <c:v>2022</c:v>
                </c:pt>
                <c:pt idx="3">
                  <c:v>2023</c:v>
                </c:pt>
                <c:pt idx="4">
                  <c:v>2024</c:v>
                </c:pt>
              </c:numCache>
            </c:numRef>
          </c:cat>
          <c:val>
            <c:numRef>
              <c:f>'[Date comunicat_nivelul_infractionalitatii_2024.xlsx]Figura 1'!$C$17:$G$17</c:f>
              <c:numCache>
                <c:formatCode>General</c:formatCode>
                <c:ptCount val="5"/>
                <c:pt idx="0">
                  <c:v>26.3</c:v>
                </c:pt>
                <c:pt idx="1">
                  <c:v>27.2</c:v>
                </c:pt>
                <c:pt idx="2">
                  <c:v>26.8</c:v>
                </c:pt>
                <c:pt idx="3" formatCode="0.0">
                  <c:v>24</c:v>
                </c:pt>
                <c:pt idx="4" formatCode="0.0">
                  <c:v>24.6</c:v>
                </c:pt>
              </c:numCache>
            </c:numRef>
          </c:val>
          <c:extLst>
            <c:ext xmlns:c16="http://schemas.microsoft.com/office/drawing/2014/chart" uri="{C3380CC4-5D6E-409C-BE32-E72D297353CC}">
              <c16:uniqueId val="{00000000-20FE-4561-BA2D-AC51F5CEE5D9}"/>
            </c:ext>
          </c:extLst>
        </c:ser>
        <c:dLbls>
          <c:showLegendKey val="0"/>
          <c:showVal val="0"/>
          <c:showCatName val="0"/>
          <c:showSerName val="0"/>
          <c:showPercent val="0"/>
          <c:showBubbleSize val="0"/>
        </c:dLbls>
        <c:gapWidth val="219"/>
        <c:overlap val="-27"/>
        <c:axId val="278310696"/>
        <c:axId val="318024904"/>
      </c:barChart>
      <c:lineChart>
        <c:grouping val="standard"/>
        <c:varyColors val="0"/>
        <c:ser>
          <c:idx val="1"/>
          <c:order val="1"/>
          <c:tx>
            <c:strRef>
              <c:f>'[Date comunicat_nivelul_infractionalitatii_2024.xlsx]Figura 1'!$A$18:$B$18</c:f>
              <c:strCache>
                <c:ptCount val="2"/>
                <c:pt idx="0">
                  <c:v>Infracţiuni înregistrate la 10 000 locuitori</c:v>
                </c:pt>
              </c:strCache>
            </c:strRef>
          </c:tx>
          <c:spPr>
            <a:ln w="28575" cap="rnd">
              <a:solidFill>
                <a:srgbClr val="C00000"/>
              </a:solidFill>
              <a:round/>
            </a:ln>
            <a:effectLst/>
          </c:spPr>
          <c:marker>
            <c:symbol val="diamond"/>
            <c:size val="5"/>
            <c:spPr>
              <a:solidFill>
                <a:schemeClr val="accent3"/>
              </a:solidFill>
              <a:ln w="9525">
                <a:solidFill>
                  <a:srgbClr val="C00000"/>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'[Date comunicat_nivelul_infractionalitatii_2024.xlsx]Figura 1'!$C$16:$F$16</c:f>
              <c:numCache>
                <c:formatCode>General</c:formatCode>
                <c:ptCount val="4"/>
                <c:pt idx="0">
                  <c:v>2020</c:v>
                </c:pt>
                <c:pt idx="1">
                  <c:v>2021</c:v>
                </c:pt>
                <c:pt idx="2">
                  <c:v>2022</c:v>
                </c:pt>
                <c:pt idx="3">
                  <c:v>2023</c:v>
                </c:pt>
              </c:numCache>
            </c:numRef>
          </c:cat>
          <c:val>
            <c:numRef>
              <c:f>'[Date comunicat_nivelul_infractionalitatii_2024.xlsx]Figura 1'!$C$18:$G$18</c:f>
              <c:numCache>
                <c:formatCode>0</c:formatCode>
                <c:ptCount val="5"/>
                <c:pt idx="0">
                  <c:v>100</c:v>
                </c:pt>
                <c:pt idx="1">
                  <c:v>106</c:v>
                </c:pt>
                <c:pt idx="2" formatCode="General">
                  <c:v>108</c:v>
                </c:pt>
                <c:pt idx="3" formatCode="General">
                  <c:v>99</c:v>
                </c:pt>
                <c:pt idx="4" formatCode="General">
                  <c:v>102</c:v>
                </c:pt>
              </c:numCache>
            </c:numRef>
          </c:val>
          <c:smooth val="0"/>
          <c:extLst>
            <c:ext xmlns:c16="http://schemas.microsoft.com/office/drawing/2014/chart" uri="{C3380CC4-5D6E-409C-BE32-E72D297353CC}">
              <c16:uniqueId val="{00000001-20FE-4561-BA2D-AC51F5CEE5D9}"/>
            </c:ext>
          </c:extLst>
        </c:ser>
        <c:dLbls>
          <c:showLegendKey val="0"/>
          <c:showVal val="0"/>
          <c:showCatName val="0"/>
          <c:showSerName val="0"/>
          <c:showPercent val="0"/>
          <c:showBubbleSize val="0"/>
        </c:dLbls>
        <c:marker val="1"/>
        <c:smooth val="0"/>
        <c:axId val="318586864"/>
        <c:axId val="318034072"/>
      </c:lineChart>
      <c:catAx>
        <c:axId val="27831069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t>cazuri</a:t>
                </a:r>
                <a:endParaRPr lang="ro-RO" b="1"/>
              </a:p>
            </c:rich>
          </c:tx>
          <c:layout>
            <c:manualLayout>
              <c:xMode val="edge"/>
              <c:yMode val="edge"/>
              <c:x val="0.87230374810113909"/>
              <c:y val="4.8689060144077728E-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ro-RO"/>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8024904"/>
        <c:crosses val="autoZero"/>
        <c:auto val="1"/>
        <c:lblAlgn val="ctr"/>
        <c:lblOffset val="100"/>
        <c:noMultiLvlLbl val="0"/>
      </c:catAx>
      <c:valAx>
        <c:axId val="318024904"/>
        <c:scaling>
          <c:orientation val="minMax"/>
          <c:min val="0"/>
        </c:scaling>
        <c:delete val="0"/>
        <c:axPos val="l"/>
        <c:numFmt formatCode="0" sourceLinked="0"/>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78310696"/>
        <c:crosses val="autoZero"/>
        <c:crossBetween val="between"/>
        <c:majorUnit val="10"/>
      </c:valAx>
      <c:valAx>
        <c:axId val="318034072"/>
        <c:scaling>
          <c:orientation val="minMax"/>
          <c:min val="0"/>
        </c:scaling>
        <c:delete val="0"/>
        <c:axPos val="r"/>
        <c:numFmt formatCode="0" sourceLinked="1"/>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18586864"/>
        <c:crosses val="max"/>
        <c:crossBetween val="between"/>
        <c:majorUnit val="40"/>
      </c:valAx>
      <c:catAx>
        <c:axId val="318586864"/>
        <c:scaling>
          <c:orientation val="minMax"/>
        </c:scaling>
        <c:delete val="1"/>
        <c:axPos val="b"/>
        <c:numFmt formatCode="General" sourceLinked="1"/>
        <c:majorTickMark val="out"/>
        <c:minorTickMark val="none"/>
        <c:tickLblPos val="nextTo"/>
        <c:crossAx val="318034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41302454168201"/>
          <c:y val="0.1136058331309038"/>
          <c:w val="0.26597565538257667"/>
          <c:h val="0.7356858609378117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02-455E-A840-3C997717DF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02-455E-A840-3C997717DF9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02-455E-A840-3C997717DF9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D02-455E-A840-3C997717DF9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D02-455E-A840-3C997717DF9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D02-455E-A840-3C997717DF9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DD02-455E-A840-3C997717DF9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DD02-455E-A840-3C997717DF9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DD02-455E-A840-3C997717DF94}"/>
              </c:ext>
            </c:extLst>
          </c:dPt>
          <c:dLbls>
            <c:dLbl>
              <c:idx val="0"/>
              <c:layout>
                <c:manualLayout>
                  <c:x val="1.5890157681285245E-2"/>
                  <c:y val="-3.9379498973519438E-2"/>
                </c:manualLayout>
              </c:layout>
              <c:tx>
                <c:rich>
                  <a:bodyPr/>
                  <a:lstStyle/>
                  <a:p>
                    <a:fld id="{C1E374FE-AE85-4805-8215-2EE79CD1F1DE}"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layout>
                    <c:manualLayout>
                      <c:w val="7.282624170996739E-2"/>
                      <c:h val="6.7636637721344012E-2"/>
                    </c:manualLayout>
                  </c15:layout>
                  <c15:dlblFieldTable/>
                  <c15:showDataLabelsRange val="0"/>
                </c:ext>
                <c:ext xmlns:c16="http://schemas.microsoft.com/office/drawing/2014/chart" uri="{C3380CC4-5D6E-409C-BE32-E72D297353CC}">
                  <c16:uniqueId val="{00000001-DD02-455E-A840-3C997717DF94}"/>
                </c:ext>
              </c:extLst>
            </c:dLbl>
            <c:dLbl>
              <c:idx val="1"/>
              <c:layout>
                <c:manualLayout>
                  <c:x val="2.7347423348005218E-2"/>
                  <c:y val="-4.5012785128663121E-2"/>
                </c:manualLayout>
              </c:layout>
              <c:tx>
                <c:rich>
                  <a:bodyPr/>
                  <a:lstStyle/>
                  <a:p>
                    <a:fld id="{7B31935F-ED79-4452-880C-8287465AC835}"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D02-455E-A840-3C997717DF94}"/>
                </c:ext>
              </c:extLst>
            </c:dLbl>
            <c:dLbl>
              <c:idx val="2"/>
              <c:layout>
                <c:manualLayout>
                  <c:x val="-1.4468242352433229E-2"/>
                  <c:y val="-1.5659522009749717E-2"/>
                </c:manualLayout>
              </c:layout>
              <c:tx>
                <c:rich>
                  <a:bodyPr/>
                  <a:lstStyle/>
                  <a:p>
                    <a:fld id="{117B3ADC-4BFF-4CE0-93FC-CA8EB51F88AA}"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DD02-455E-A840-3C997717DF94}"/>
                </c:ext>
              </c:extLst>
            </c:dLbl>
            <c:dLbl>
              <c:idx val="3"/>
              <c:layout>
                <c:manualLayout>
                  <c:x val="-1.9056710614889529E-2"/>
                  <c:y val="7.8710616059200766E-3"/>
                </c:manualLayout>
              </c:layout>
              <c:tx>
                <c:rich>
                  <a:bodyPr/>
                  <a:lstStyle/>
                  <a:p>
                    <a:fld id="{E6465075-6C0A-4F69-A708-E1A782F1F4C5}"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DD02-455E-A840-3C997717DF94}"/>
                </c:ext>
              </c:extLst>
            </c:dLbl>
            <c:dLbl>
              <c:idx val="4"/>
              <c:layout>
                <c:manualLayout>
                  <c:x val="-2.227875415380192E-2"/>
                  <c:y val="-6.4366466133160081E-3"/>
                </c:manualLayout>
              </c:layout>
              <c:tx>
                <c:rich>
                  <a:bodyPr/>
                  <a:lstStyle/>
                  <a:p>
                    <a:fld id="{4AA3DBCE-E24D-4A4F-A5F2-5C409128FF09}"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DD02-455E-A840-3C997717DF94}"/>
                </c:ext>
              </c:extLst>
            </c:dLbl>
            <c:dLbl>
              <c:idx val="5"/>
              <c:layout>
                <c:manualLayout>
                  <c:x val="-2.8248166599148521E-2"/>
                  <c:y val="-2.4305924310922031E-2"/>
                </c:manualLayout>
              </c:layout>
              <c:tx>
                <c:rich>
                  <a:bodyPr/>
                  <a:lstStyle/>
                  <a:p>
                    <a:fld id="{E158F780-9144-4719-A689-06943F9F8C4C}"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DD02-455E-A840-3C997717DF94}"/>
                </c:ext>
              </c:extLst>
            </c:dLbl>
            <c:dLbl>
              <c:idx val="6"/>
              <c:layout>
                <c:manualLayout>
                  <c:x val="-1.1427293169104952E-2"/>
                  <c:y val="-2.5760469008237214E-2"/>
                </c:manualLayout>
              </c:layout>
              <c:tx>
                <c:rich>
                  <a:bodyPr/>
                  <a:lstStyle/>
                  <a:p>
                    <a:fld id="{91263CBF-EB42-458E-83FD-9C912BCA595C}"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DD02-455E-A840-3C997717DF94}"/>
                </c:ext>
              </c:extLst>
            </c:dLbl>
            <c:dLbl>
              <c:idx val="7"/>
              <c:layout>
                <c:manualLayout>
                  <c:x val="-1.1302202442428423E-2"/>
                  <c:y val="-5.5864789467583206E-2"/>
                </c:manualLayout>
              </c:layout>
              <c:tx>
                <c:rich>
                  <a:bodyPr/>
                  <a:lstStyle/>
                  <a:p>
                    <a:fld id="{97E2D636-20A1-4140-9632-09205817D4E4}"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DD02-455E-A840-3C997717DF94}"/>
                </c:ext>
              </c:extLst>
            </c:dLbl>
            <c:dLbl>
              <c:idx val="8"/>
              <c:layout>
                <c:manualLayout>
                  <c:x val="-1.1067835509842264E-3"/>
                  <c:y val="-2.6230477378446512E-2"/>
                </c:manualLayout>
              </c:layout>
              <c:tx>
                <c:rich>
                  <a:bodyPr/>
                  <a:lstStyle/>
                  <a:p>
                    <a:fld id="{DF5A8ADC-107C-43F4-8BAF-9BA2A05DA199}" type="VALUE">
                      <a:rPr lang="en-US"/>
                      <a:pPr/>
                      <a:t>[ЗНАЧЕНИЕ]</a:t>
                    </a:fld>
                    <a:r>
                      <a:rPr lang="en-US"/>
                      <a:t>%</a:t>
                    </a:r>
                  </a:p>
                </c:rich>
              </c:tx>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DD02-455E-A840-3C997717DF94}"/>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1"/>
            <c:showSerName val="0"/>
            <c:showPercent val="0"/>
            <c:showBubbleSize val="0"/>
            <c:separator> </c:separator>
            <c:showLeaderLines val="1"/>
            <c:leaderLines>
              <c:spPr>
                <a:ln w="9525" cap="flat" cmpd="sng" algn="ctr">
                  <a:solidFill>
                    <a:schemeClr val="bg1">
                      <a:lumMod val="85000"/>
                    </a:schemeClr>
                  </a:solidFill>
                  <a:round/>
                </a:ln>
                <a:effectLst/>
              </c:spPr>
            </c:leaderLines>
            <c:extLst>
              <c:ext xmlns:c15="http://schemas.microsoft.com/office/drawing/2012/chart" uri="{CE6537A1-D6FC-4f65-9D91-7224C49458BB}"/>
            </c:extLst>
          </c:dLbls>
          <c:cat>
            <c:strRef>
              <c:f>'[Date comunicat_nivelul_infractionalitatii_2024.xlsx]Figura 3'!$A$19:$I$19</c:f>
              <c:strCache>
                <c:ptCount val="9"/>
                <c:pt idx="0">
                  <c:v>Infracţiuni contra patrimoniului</c:v>
                </c:pt>
                <c:pt idx="1">
                  <c:v>Infracţiuni în domeniul transporturilor</c:v>
                </c:pt>
                <c:pt idx="2">
                  <c:v>Infracţiuni contra autorităţilor publice și a securității de stat</c:v>
                </c:pt>
                <c:pt idx="3">
                  <c:v>Infracţiuni contra securităţii și ordinii publice </c:v>
                </c:pt>
                <c:pt idx="4">
                  <c:v>Infracţiuni contra sănătăţii publice și convețuirii sociale</c:v>
                </c:pt>
                <c:pt idx="5">
                  <c:v>Infracţiuni contra familiei şi minorilor</c:v>
                </c:pt>
                <c:pt idx="6">
                  <c:v>Infracţiuni contra justiției</c:v>
                </c:pt>
                <c:pt idx="7">
                  <c:v>Infracțiuni contra bunei desfășurări a activității în sfera publică</c:v>
                </c:pt>
                <c:pt idx="8">
                  <c:v>Alte infracțiuni</c:v>
                </c:pt>
              </c:strCache>
            </c:strRef>
          </c:cat>
          <c:val>
            <c:numRef>
              <c:f>'[Date comunicat_nivelul_infractionalitatii_2024.xlsx]Figura 3'!$A$20:$I$20</c:f>
              <c:numCache>
                <c:formatCode>0.0</c:formatCode>
                <c:ptCount val="9"/>
                <c:pt idx="0">
                  <c:v>35.407943412333836</c:v>
                </c:pt>
                <c:pt idx="1">
                  <c:v>16.939712996463271</c:v>
                </c:pt>
                <c:pt idx="2">
                  <c:v>13.6</c:v>
                </c:pt>
                <c:pt idx="3">
                  <c:v>5.605918939794301</c:v>
                </c:pt>
                <c:pt idx="4">
                  <c:v>4.7115736412049269</c:v>
                </c:pt>
                <c:pt idx="5">
                  <c:v>4.5</c:v>
                </c:pt>
                <c:pt idx="6">
                  <c:v>4.1017927558030811</c:v>
                </c:pt>
                <c:pt idx="7">
                  <c:v>3.3</c:v>
                </c:pt>
                <c:pt idx="8">
                  <c:v>11.850075206309199</c:v>
                </c:pt>
              </c:numCache>
            </c:numRef>
          </c:val>
          <c:extLst>
            <c:ext xmlns:c16="http://schemas.microsoft.com/office/drawing/2014/chart" uri="{C3380CC4-5D6E-409C-BE32-E72D297353CC}">
              <c16:uniqueId val="{00000012-DD02-455E-A840-3C997717DF9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44237861769149511"/>
          <c:y val="6.9478561229507699E-2"/>
          <c:w val="0.55762138230850489"/>
          <c:h val="0.9296176521159504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E379-376D-4FE9-9F1F-EC7113C2B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Pages>
  <Words>27103</Words>
  <Characters>157203</Characters>
  <Application>Microsoft Office Word</Application>
  <DocSecurity>0</DocSecurity>
  <Lines>1310</Lines>
  <Paragraphs>367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 Office</dc:creator>
  <cp:keywords/>
  <dc:description/>
  <cp:lastModifiedBy>Vitalie Railean</cp:lastModifiedBy>
  <cp:revision>34</cp:revision>
  <cp:lastPrinted>2025-06-18T07:19:00Z</cp:lastPrinted>
  <dcterms:created xsi:type="dcterms:W3CDTF">2025-07-16T05:07:00Z</dcterms:created>
  <dcterms:modified xsi:type="dcterms:W3CDTF">2025-07-18T12:37:00Z</dcterms:modified>
</cp:coreProperties>
</file>